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24.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Gyroskopet</w:t>
      </w:r>
      <w:r>
        <w:t xml:space="preserve"> </w:t>
      </w:r>
      <w:r>
        <w:t xml:space="preserve">og</w:t>
      </w:r>
      <w:r>
        <w:t xml:space="preserve"> </w:t>
      </w:r>
      <w:r>
        <w:t xml:space="preserve">tippetoppen</w:t>
      </w:r>
    </w:p>
    <w:p>
      <w:pPr>
        <w:pStyle w:val="Subtitle"/>
      </w:pPr>
      <w:r>
        <w:t xml:space="preserve">Teori</w:t>
      </w:r>
      <w:r>
        <w:t xml:space="preserve"> </w:t>
      </w:r>
      <w:r>
        <w:t xml:space="preserve">og</w:t>
      </w:r>
      <w:r>
        <w:t xml:space="preserve"> </w:t>
      </w:r>
      <w:r>
        <w:t xml:space="preserve">matematik</w:t>
      </w:r>
      <w:r>
        <w:t xml:space="preserve"> </w:t>
      </w:r>
      <w:r>
        <w:t xml:space="preserve">bag</w:t>
      </w:r>
      <w:r>
        <w:t xml:space="preserve"> </w:t>
      </w:r>
      <w:r>
        <w:t xml:space="preserve">to</w:t>
      </w:r>
      <w:r>
        <w:t xml:space="preserve"> </w:t>
      </w:r>
      <w:r>
        <w:t xml:space="preserve">klassiske</w:t>
      </w:r>
      <w:r>
        <w:t xml:space="preserve"> </w:t>
      </w:r>
      <w:r>
        <w:t xml:space="preserve">snurretoppe</w:t>
      </w:r>
    </w:p>
    <w:p>
      <w:pPr>
        <w:pStyle w:val="Date"/>
      </w:pPr>
      <w:r>
        <w:t xml:space="preserve">September</w:t>
      </w:r>
      <w:r>
        <w:t xml:space="preserve"> </w:t>
      </w:r>
      <w:r>
        <w:t xml:space="preserve">2026</w:t>
      </w:r>
    </w:p>
    <w:bookmarkStart w:id="20" w:name="indledning"/>
    <w:p>
      <w:pPr>
        <w:pStyle w:val="Heading1"/>
      </w:pPr>
      <w:r>
        <w:rPr>
          <w:rStyle w:val="SectionNumber"/>
        </w:rPr>
        <w:t xml:space="preserve">1</w:t>
      </w:r>
      <w:r>
        <w:tab/>
      </w:r>
      <w:r>
        <w:t xml:space="preserve">Indledning</w:t>
      </w:r>
    </w:p>
    <w:p>
      <w:pPr>
        <w:pStyle w:val="FirstParagraph"/>
      </w:pPr>
      <w:r>
        <w:t xml:space="preserve">Gyroskopet og tippetoppen er begge stive legemer i hurtig rotation, men de illustrerer to forskellige sider af rotationsdynamikken. Gyroskopet viser, hvad et ydre</w:t>
      </w:r>
      <w:r>
        <w:t xml:space="preserve"> </w:t>
      </w:r>
      <w:r>
        <w:rPr>
          <w:iCs/>
          <w:i/>
        </w:rPr>
        <w:t xml:space="preserve">drejningsmoment</w:t>
      </w:r>
      <w:r>
        <w:t xml:space="preserve"> </w:t>
      </w:r>
      <w:r>
        <w:t xml:space="preserve">gør ved impulsmomentet: aksen præcesserer i stedet for at vælte. Tippetoppen viser, hvad</w:t>
      </w:r>
      <w:r>
        <w:t xml:space="preserve"> </w:t>
      </w:r>
      <w:r>
        <w:rPr>
          <w:iCs/>
          <w:i/>
        </w:rPr>
        <w:t xml:space="preserve">friktion</w:t>
      </w:r>
      <w:r>
        <w:t xml:space="preserve"> </w:t>
      </w:r>
      <w:r>
        <w:t xml:space="preserve">kan gøre: den dissiperer energi, men bevarer en bestemt kombination af impulsmomentets komposanter, og netop det tvinger toppen til at vende sig på hovedet og løfte sit massemidtpunkt.</w:t>
      </w:r>
    </w:p>
    <w:p>
      <w:pPr>
        <w:pStyle w:val="BodyText"/>
      </w:pPr>
      <w:r>
        <w:t xml:space="preserve">Udgangspunktet er i begge tilfælde de to vektorligninger for et stift legeme,</w:t>
      </w:r>
    </w:p>
    <w:p>
      <w:pPr>
        <w:pStyle w:val="BodyText"/>
      </w:pPr>
      <m:oMathPara>
        <m:oMathParaPr>
          <m:jc m:val="center"/>
        </m:oMathParaPr>
        <m:oMath>
          <m:r>
            <m:t>M</m:t>
          </m:r>
          <m:r>
            <m:t> </m:t>
          </m:r>
          <m:sSub>
            <m:e>
              <m:acc>
                <m:accPr>
                  <m:chr m:val="̇"/>
                </m:accPr>
                <m:e>
                  <m:r>
                    <m:rPr>
                      <m:sty m:val="b"/>
                    </m:rPr>
                    <m:t>v</m:t>
                  </m:r>
                </m:e>
              </m:acc>
            </m:e>
            <m:sub>
              <m:r>
                <m:t>C</m:t>
              </m:r>
            </m:sub>
          </m:sSub>
          <m:r>
            <m:rPr>
              <m:sty m:val="p"/>
            </m:rPr>
            <m:t>=</m:t>
          </m:r>
          <m:r>
            <m:rPr>
              <m:sty m:val="p"/>
            </m:rPr>
            <m:t>∑</m:t>
          </m:r>
          <m:r>
            <m:rPr>
              <m:sty m:val="b"/>
            </m:rPr>
            <m:t>F</m:t>
          </m:r>
          <m:r>
            <m:rPr>
              <m:sty m:val="p"/>
            </m:rPr>
            <m:t>,</m:t>
          </m:r>
          <m:r>
            <m:t>  </m:t>
          </m:r>
          <m:acc>
            <m:accPr>
              <m:chr m:val="̇"/>
            </m:accPr>
            <m:e>
              <m:r>
                <m:rPr>
                  <m:sty m:val="b"/>
                </m:rPr>
                <m:t>L</m:t>
              </m:r>
            </m:e>
          </m:acc>
          <m:r>
            <m:rPr>
              <m:sty m:val="p"/>
            </m:rPr>
            <m:t>=</m:t>
          </m:r>
          <m:r>
            <m:rPr>
              <m:sty m:val="b"/>
            </m:rPr>
            <m:t>τ</m:t>
          </m:r>
          <m:r>
            <m:rPr>
              <m:sty m:val="p"/>
            </m:rPr>
            <m:t>,</m:t>
          </m:r>
        </m:oMath>
      </m:oMathPara>
    </w:p>
    <w:p>
      <w:pPr>
        <w:pStyle w:val="FirstParagraph"/>
      </w:pPr>
      <w:r>
        <w:t xml:space="preserve">hvor</w:t>
      </w:r>
      <w:r>
        <w:t xml:space="preserve"> </w:t>
      </w:r>
      <m:oMath>
        <m:sSub>
          <m:e>
            <m:r>
              <m:rPr>
                <m:sty m:val="b"/>
              </m:rPr>
              <m:t>v</m:t>
            </m:r>
          </m:e>
          <m:sub>
            <m:r>
              <m:t>C</m:t>
            </m:r>
          </m:sub>
        </m:sSub>
      </m:oMath>
      <w:r>
        <w:t xml:space="preserve"> </w:t>
      </w:r>
      <w:r>
        <w:t xml:space="preserve">er massemidtpunktets hastighed,</w:t>
      </w:r>
      <w:r>
        <w:t xml:space="preserve"> </w:t>
      </w:r>
      <m:oMath>
        <m:r>
          <m:rPr>
            <m:sty m:val="b"/>
          </m:rPr>
          <m:t>L</m:t>
        </m:r>
      </m:oMath>
      <w:r>
        <w:t xml:space="preserve"> </w:t>
      </w:r>
      <w:r>
        <w:t xml:space="preserve">impulsmomentet og</w:t>
      </w:r>
      <w:r>
        <w:t xml:space="preserve"> </w:t>
      </w:r>
      <m:oMath>
        <m:r>
          <m:rPr>
            <m:sty m:val="b"/>
          </m:rPr>
          <m:t>τ</m:t>
        </m:r>
      </m:oMath>
      <w:r>
        <w:t xml:space="preserve"> </w:t>
      </w:r>
      <w:r>
        <w:t xml:space="preserve">det samlede kraftmoment, begge regnet om massemidtpunktet eller om et fast punkt.</w:t>
      </w:r>
    </w:p>
    <w:bookmarkEnd w:id="20"/>
    <w:bookmarkStart w:id="31" w:name="gyroskopet-den-tunge-symmetriske-top"/>
    <w:p>
      <w:pPr>
        <w:pStyle w:val="Heading1"/>
      </w:pPr>
      <w:r>
        <w:rPr>
          <w:rStyle w:val="SectionNumber"/>
        </w:rPr>
        <w:t xml:space="preserve">2</w:t>
      </w:r>
      <w:r>
        <w:tab/>
      </w:r>
      <w:r>
        <w:t xml:space="preserve">Gyroskopet: den tunge symmetriske top</w:t>
      </w:r>
    </w:p>
    <w:bookmarkStart w:id="21" w:name="vektorbilledet"/>
    <w:p>
      <w:pPr>
        <w:pStyle w:val="Heading2"/>
      </w:pPr>
      <w:r>
        <w:rPr>
          <w:rStyle w:val="SectionNumber"/>
        </w:rPr>
        <w:t xml:space="preserve">2.1</w:t>
      </w:r>
      <w:r>
        <w:tab/>
      </w:r>
      <w:r>
        <w:t xml:space="preserve">Vektorbilledet</w:t>
      </w:r>
    </w:p>
    <w:p>
      <w:pPr>
        <w:pStyle w:val="FirstParagraph"/>
      </w:pPr>
      <w:r>
        <w:t xml:space="preserve">Betragt en symmetrisk top med fast støttepunkt, masse</w:t>
      </w:r>
      <w:r>
        <w:t xml:space="preserve"> </w:t>
      </w:r>
      <m:oMath>
        <m:r>
          <m:t>M</m:t>
        </m:r>
      </m:oMath>
      <w:r>
        <w:t xml:space="preserve"> </w:t>
      </w:r>
      <w:r>
        <w:t xml:space="preserve">og massemidtpunktet i afstanden</w:t>
      </w:r>
      <w:r>
        <w:t xml:space="preserve"> </w:t>
      </w:r>
      <m:oMath>
        <m:r>
          <m:t>l</m:t>
        </m:r>
      </m:oMath>
      <w:r>
        <w:t xml:space="preserve"> </w:t>
      </w:r>
      <w:r>
        <w:t xml:space="preserve">fra støttepunktet langs symmetriaksen</w:t>
      </w:r>
      <w:r>
        <w:t xml:space="preserve"> </w:t>
      </w:r>
      <m:oMath>
        <m:sSub>
          <m:e>
            <m:acc>
              <m:accPr>
                <m:chr m:val="̂"/>
              </m:accPr>
              <m:e>
                <m:r>
                  <m:rPr>
                    <m:sty m:val="b"/>
                  </m:rPr>
                  <m:t>e</m:t>
                </m:r>
              </m:e>
            </m:acc>
          </m:e>
          <m:sub>
            <m:r>
              <m:t>3</m:t>
            </m:r>
          </m:sub>
        </m:sSub>
      </m:oMath>
      <w:r>
        <w:t xml:space="preserve">. Roterer toppen hurtigt med vinkelhastigheden</w:t>
      </w:r>
      <w:r>
        <w:t xml:space="preserve"> </w:t>
      </w:r>
      <m:oMath>
        <m:sSub>
          <m:e>
            <m:r>
              <m:t>ω</m:t>
            </m:r>
          </m:e>
          <m:sub>
            <m:r>
              <m:t>3</m:t>
            </m:r>
          </m:sub>
        </m:sSub>
      </m:oMath>
      <w:r>
        <w:t xml:space="preserve"> </w:t>
      </w:r>
      <w:r>
        <w:t xml:space="preserve">om aksen, er impulsmomentet med god tilnærmelse</w:t>
      </w:r>
    </w:p>
    <w:p>
      <w:pPr>
        <w:pStyle w:val="BodyText"/>
      </w:pPr>
      <m:oMathPara>
        <m:oMathParaPr>
          <m:jc m:val="center"/>
        </m:oMathParaPr>
        <m:oMath>
          <m:r>
            <m:rPr>
              <m:sty m:val="b"/>
            </m:rPr>
            <m:t>L</m:t>
          </m:r>
          <m:r>
            <m:rPr>
              <m:sty m:val="p"/>
            </m:rPr>
            <m:t>≈</m:t>
          </m:r>
          <m:sSub>
            <m:e>
              <m:r>
                <m:t>I</m:t>
              </m:r>
            </m:e>
            <m:sub>
              <m:r>
                <m:t>3</m:t>
              </m:r>
            </m:sub>
          </m:sSub>
          <m:r>
            <m:t> </m:t>
          </m:r>
          <m:sSub>
            <m:e>
              <m:r>
                <m:t>ω</m:t>
              </m:r>
            </m:e>
            <m:sub>
              <m:r>
                <m:t>3</m:t>
              </m:r>
            </m:sub>
          </m:sSub>
          <m:r>
            <m:t> </m:t>
          </m:r>
          <m:sSub>
            <m:e>
              <m:acc>
                <m:accPr>
                  <m:chr m:val="̂"/>
                </m:accPr>
                <m:e>
                  <m:r>
                    <m:rPr>
                      <m:sty m:val="b"/>
                    </m:rPr>
                    <m:t>e</m:t>
                  </m:r>
                </m:e>
              </m:acc>
            </m:e>
            <m:sub>
              <m:r>
                <m:t>3</m:t>
              </m:r>
            </m:sub>
          </m:sSub>
          <m:r>
            <m:rPr>
              <m:sty m:val="p"/>
            </m:rPr>
            <m:t>.</m:t>
          </m:r>
        </m:oMath>
      </m:oMathPara>
    </w:p>
    <w:p>
      <w:pPr>
        <w:pStyle w:val="FirstParagraph"/>
      </w:pPr>
      <w:r>
        <w:t xml:space="preserve">Tyngdekraftens moment om støttepunktet er</w:t>
      </w:r>
      <w:r>
        <w:t xml:space="preserve"> </w:t>
      </w:r>
      <m:oMath>
        <m:r>
          <m:rPr>
            <m:sty m:val="b"/>
          </m:rPr>
          <m:t>τ</m:t>
        </m:r>
        <m:r>
          <m:rPr>
            <m:sty m:val="p"/>
          </m:rPr>
          <m:t>=</m:t>
        </m:r>
        <m:r>
          <m:t>l</m:t>
        </m:r>
        <m:r>
          <m:t> </m:t>
        </m:r>
        <m:sSub>
          <m:e>
            <m:acc>
              <m:accPr>
                <m:chr m:val="̂"/>
              </m:accPr>
              <m:e>
                <m:r>
                  <m:rPr>
                    <m:sty m:val="b"/>
                  </m:rPr>
                  <m:t>e</m:t>
                </m:r>
              </m:e>
            </m:acc>
          </m:e>
          <m:sub>
            <m:r>
              <m:t>3</m:t>
            </m:r>
          </m:sub>
        </m:sSub>
        <m:r>
          <m:rPr>
            <m:sty m:val="p"/>
          </m:rPr>
          <m:t>×</m:t>
        </m:r>
        <m:d>
          <m:dPr>
            <m:begChr m:val="("/>
            <m:endChr m:val=")"/>
            <m:sepChr m:val=""/>
            <m:grow/>
          </m:dPr>
          <m:e>
            <m:r>
              <m:rPr>
                <m:sty m:val="p"/>
              </m:rPr>
              <m:t>−</m:t>
            </m:r>
            <m:r>
              <m:t>M</m:t>
            </m:r>
            <m:r>
              <m:t>g</m:t>
            </m:r>
            <m:r>
              <m:t> </m:t>
            </m:r>
            <m:acc>
              <m:accPr>
                <m:chr m:val="̂"/>
              </m:accPr>
              <m:e>
                <m:r>
                  <m:rPr>
                    <m:sty m:val="b"/>
                  </m:rPr>
                  <m:t>z</m:t>
                </m:r>
              </m:e>
            </m:acc>
          </m:e>
        </m:d>
      </m:oMath>
      <w:r>
        <w:t xml:space="preserve">, som er vandret og vinkelret på</w:t>
      </w:r>
      <w:r>
        <w:t xml:space="preserve"> </w:t>
      </w:r>
      <m:oMath>
        <m:sSub>
          <m:e>
            <m:acc>
              <m:accPr>
                <m:chr m:val="̂"/>
              </m:accPr>
              <m:e>
                <m:r>
                  <m:rPr>
                    <m:sty m:val="b"/>
                  </m:rPr>
                  <m:t>e</m:t>
                </m:r>
              </m:e>
            </m:acc>
          </m:e>
          <m:sub>
            <m:r>
              <m:t>3</m:t>
            </m:r>
          </m:sub>
        </m:sSub>
      </m:oMath>
      <w:r>
        <w:t xml:space="preserve">. Da</w:t>
      </w:r>
      <w:r>
        <w:t xml:space="preserve"> </w:t>
      </w:r>
      <m:oMath>
        <m:r>
          <m:rPr>
            <m:sty m:val="b"/>
          </m:rPr>
          <m:t>τ</m:t>
        </m:r>
        <m:r>
          <m:rPr>
            <m:sty m:val="p"/>
          </m:rPr>
          <m:t>⊥</m:t>
        </m:r>
        <m:r>
          <m:rPr>
            <m:sty m:val="b"/>
          </m:rPr>
          <m:t>L</m:t>
        </m:r>
      </m:oMath>
      <w:r>
        <w:t xml:space="preserve">, ændres kun retningen af</w:t>
      </w:r>
      <w:r>
        <w:t xml:space="preserve"> </w:t>
      </w:r>
      <m:oMath>
        <m:r>
          <m:rPr>
            <m:sty m:val="b"/>
          </m:rPr>
          <m:t>L</m:t>
        </m:r>
      </m:oMath>
      <w:r>
        <w:t xml:space="preserve">, ikke størrelsen:</w:t>
      </w:r>
    </w:p>
    <w:p>
      <w:pPr>
        <w:pStyle w:val="BodyText"/>
      </w:pPr>
      <m:oMathPara>
        <m:oMathParaPr>
          <m:jc m:val="center"/>
        </m:oMathParaPr>
        <m:oMath>
          <m:sSub>
            <m:e>
              <m:acc>
                <m:accPr>
                  <m:chr m:val="̇"/>
                </m:accPr>
                <m:e>
                  <m:acc>
                    <m:accPr>
                      <m:chr m:val="̂"/>
                    </m:accPr>
                    <m:e>
                      <m:r>
                        <m:rPr>
                          <m:sty m:val="b"/>
                        </m:rPr>
                        <m:t>e</m:t>
                      </m:r>
                    </m:e>
                  </m:acc>
                </m:e>
              </m:acc>
            </m:e>
            <m:sub>
              <m:r>
                <m:t>3</m:t>
              </m:r>
            </m:sub>
          </m:sSub>
          <m:r>
            <m:rPr>
              <m:sty m:val="p"/>
            </m:rPr>
            <m:t>=</m:t>
          </m:r>
          <m:r>
            <m:rPr>
              <m:sty m:val="b"/>
            </m:rPr>
            <m:t>Ω</m:t>
          </m:r>
          <m:r>
            <m:rPr>
              <m:sty m:val="p"/>
            </m:rPr>
            <m:t>×</m:t>
          </m:r>
          <m:sSub>
            <m:e>
              <m:acc>
                <m:accPr>
                  <m:chr m:val="̂"/>
                </m:accPr>
                <m:e>
                  <m:r>
                    <m:rPr>
                      <m:sty m:val="b"/>
                    </m:rPr>
                    <m:t>e</m:t>
                  </m:r>
                </m:e>
              </m:acc>
            </m:e>
            <m:sub>
              <m:r>
                <m:t>3</m:t>
              </m:r>
            </m:sub>
          </m:sSub>
          <m:r>
            <m:rPr>
              <m:sty m:val="p"/>
            </m:rPr>
            <m:t>,</m:t>
          </m:r>
          <m:r>
            <m:t>  </m:t>
          </m:r>
          <m:r>
            <m:rPr>
              <m:sty m:val="b"/>
            </m:rPr>
            <m:t>Ω</m:t>
          </m:r>
          <m:r>
            <m:rPr>
              <m:sty m:val="p"/>
            </m:rPr>
            <m:t>=</m:t>
          </m:r>
          <m:f>
            <m:fPr>
              <m:type m:val="bar"/>
            </m:fPr>
            <m:num>
              <m:r>
                <m:t>M</m:t>
              </m:r>
              <m:r>
                <m:t>g</m:t>
              </m:r>
              <m:r>
                <m:t>l</m:t>
              </m:r>
            </m:num>
            <m:den>
              <m:sSub>
                <m:e>
                  <m:r>
                    <m:t>I</m:t>
                  </m:r>
                </m:e>
                <m:sub>
                  <m:r>
                    <m:t>3</m:t>
                  </m:r>
                </m:sub>
              </m:sSub>
              <m:r>
                <m:t> </m:t>
              </m:r>
              <m:sSub>
                <m:e>
                  <m:r>
                    <m:t>ω</m:t>
                  </m:r>
                </m:e>
                <m:sub>
                  <m:r>
                    <m:t>3</m:t>
                  </m:r>
                </m:sub>
              </m:sSub>
            </m:den>
          </m:f>
          <m:r>
            <m:t> </m:t>
          </m:r>
          <m:acc>
            <m:accPr>
              <m:chr m:val="̂"/>
            </m:accPr>
            <m:e>
              <m:r>
                <m:rPr>
                  <m:sty m:val="b"/>
                </m:rPr>
                <m:t>z</m:t>
              </m:r>
            </m:e>
          </m:acc>
          <m:r>
            <m:rPr>
              <m:sty m:val="p"/>
            </m:rPr>
            <m:t>.</m:t>
          </m:r>
        </m:oMath>
      </m:oMathPara>
    </w:p>
    <w:p>
      <w:pPr>
        <w:pStyle w:val="FirstParagraph"/>
      </w:pPr>
      <w:r>
        <w:t xml:space="preserve">Aksen løber altså rundt om lodret med præcessionsfrekvensen</w:t>
      </w:r>
      <w:r>
        <w:t xml:space="preserve"> </w:t>
      </w:r>
      <m:oMath>
        <m:r>
          <m:t>Ω</m:t>
        </m:r>
        <m:r>
          <m:rPr>
            <m:sty m:val="p"/>
          </m:rPr>
          <m:t>=</m:t>
        </m:r>
        <m:r>
          <m:t>M</m:t>
        </m:r>
        <m:r>
          <m:t>g</m:t>
        </m:r>
        <m:r>
          <m:t>l</m:t>
        </m:r>
        <m:r>
          <m:rPr>
            <m:sty m:val="p"/>
          </m:rPr>
          <m:t>/</m:t>
        </m:r>
        <m:sSub>
          <m:e>
            <m:r>
              <m:t>L</m:t>
            </m:r>
          </m:e>
          <m:sub>
            <m:r>
              <m:t>3</m:t>
            </m:r>
          </m:sub>
        </m:sSub>
      </m:oMath>
      <w:r>
        <w:t xml:space="preserve">, uafhængigt af hældningen. Jo hurtigere rotationen, jo langsommere præcessionen. Tilnærmelsen forudsætter, at rotationen om aksen dominerer over præcessionen, og en eksakt behandling kræver Lagrange-formalismen.</w:t>
      </w:r>
    </w:p>
    <w:bookmarkEnd w:id="21"/>
    <w:bookmarkStart w:id="22" w:name="lagrange-funktionen"/>
    <w:p>
      <w:pPr>
        <w:pStyle w:val="Heading2"/>
      </w:pPr>
      <w:r>
        <w:rPr>
          <w:rStyle w:val="SectionNumber"/>
        </w:rPr>
        <w:t xml:space="preserve">2.2</w:t>
      </w:r>
      <w:r>
        <w:tab/>
      </w:r>
      <w:r>
        <w:t xml:space="preserve">Lagrange-funktionen</w:t>
      </w:r>
    </w:p>
    <w:p>
      <w:pPr>
        <w:pStyle w:val="FirstParagraph"/>
      </w:pPr>
      <w:r>
        <w:t xml:space="preserve">Stillingen beskrives med Euler-vinklerne</w:t>
      </w:r>
      <w:r>
        <w:t xml:space="preserve"> </w:t>
      </w:r>
      <m:oMath>
        <m:r>
          <m:t>θ</m:t>
        </m:r>
      </m:oMath>
      <w:r>
        <w:t xml:space="preserve"> </w:t>
      </w:r>
      <w:r>
        <w:t xml:space="preserve">(aksens hældning fra lodret),</w:t>
      </w:r>
      <w:r>
        <w:t xml:space="preserve"> </w:t>
      </w:r>
      <m:oMath>
        <m:r>
          <m:t>ϕ</m:t>
        </m:r>
      </m:oMath>
      <w:r>
        <w:t xml:space="preserve"> </w:t>
      </w:r>
      <w:r>
        <w:t xml:space="preserve">(præcessionsvinklen) og</w:t>
      </w:r>
      <w:r>
        <w:t xml:space="preserve"> </w:t>
      </w:r>
      <m:oMath>
        <m:r>
          <m:t>ψ</m:t>
        </m:r>
      </m:oMath>
      <w:r>
        <w:t xml:space="preserve"> </w:t>
      </w:r>
      <w:r>
        <w:t xml:space="preserve">(egenrotationen). Med</w:t>
      </w:r>
      <w:r>
        <w:t xml:space="preserve"> </w:t>
      </w:r>
      <m:oMath>
        <m:sSub>
          <m:e>
            <m:r>
              <m:t>I</m:t>
            </m:r>
          </m:e>
          <m:sub>
            <m:r>
              <m:t>1</m:t>
            </m:r>
          </m:sub>
        </m:sSub>
      </m:oMath>
      <w:r>
        <w:t xml:space="preserve"> </w:t>
      </w:r>
      <w:r>
        <w:t xml:space="preserve">som inertimomentet om en tværakse gennem støttepunktet og</w:t>
      </w:r>
      <w:r>
        <w:t xml:space="preserve"> </w:t>
      </w:r>
      <m:oMath>
        <m:sSub>
          <m:e>
            <m:r>
              <m:t>I</m:t>
            </m:r>
          </m:e>
          <m:sub>
            <m:r>
              <m:t>3</m:t>
            </m:r>
          </m:sub>
        </m:sSub>
      </m:oMath>
      <w:r>
        <w:t xml:space="preserve"> </w:t>
      </w:r>
      <w:r>
        <w:t xml:space="preserve">om symmetriaksen er</w:t>
      </w:r>
    </w:p>
    <w:p>
      <w:pPr>
        <w:pStyle w:val="BodyText"/>
      </w:pPr>
      <m:oMathPara>
        <m:oMathParaPr>
          <m:jc m:val="center"/>
        </m:oMathParaPr>
        <m:oMath>
          <m:r>
            <m:rPr>
              <m:sty m:val="p"/>
              <m:scr m:val="script"/>
            </m:rPr>
            <m:t>L</m:t>
          </m:r>
          <m:r>
            <m:rPr>
              <m:sty m:val="p"/>
            </m:rPr>
            <m:t>=</m:t>
          </m:r>
          <m:f>
            <m:fPr>
              <m:type m:val="lin"/>
            </m:fPr>
            <m:num>
              <m:r>
                <m:t>1</m:t>
              </m:r>
            </m:num>
            <m:den>
              <m:r>
                <m:t>2</m:t>
              </m:r>
            </m:den>
          </m:f>
          <m:sSub>
            <m:e>
              <m:r>
                <m:t>I</m:t>
              </m:r>
            </m:e>
            <m:sub>
              <m:r>
                <m:t>1</m:t>
              </m:r>
            </m:sub>
          </m:sSub>
          <m:d>
            <m:dPr>
              <m:begChr m:val="("/>
              <m:endChr m:val=")"/>
              <m:sepChr m:val=""/>
              <m:grow/>
            </m:dPr>
            <m:e>
              <m:sSup>
                <m:e>
                  <m:acc>
                    <m:accPr>
                      <m:chr m:val="̇"/>
                    </m:accPr>
                    <m:e>
                      <m:r>
                        <m:t>θ</m:t>
                      </m:r>
                    </m:e>
                  </m:acc>
                </m:e>
                <m:sup>
                  <m:r>
                    <m:t>2</m:t>
                  </m:r>
                </m:sup>
              </m:sSup>
              <m:r>
                <m:rPr>
                  <m:sty m:val="p"/>
                </m:rPr>
                <m:t>+</m:t>
              </m:r>
              <m:sSup>
                <m:e>
                  <m:acc>
                    <m:accPr>
                      <m:chr m:val="̇"/>
                    </m:accPr>
                    <m:e>
                      <m:r>
                        <m:t>ϕ</m:t>
                      </m:r>
                    </m:e>
                  </m:acc>
                </m:e>
                <m:sup>
                  <m:r>
                    <m:t>2</m:t>
                  </m:r>
                </m:sup>
              </m:sSup>
              <m:sSup>
                <m:e>
                  <m:r>
                    <m:rPr>
                      <m:sty m:val="p"/>
                    </m:rPr>
                    <m:t>sin</m:t>
                  </m:r>
                </m:e>
                <m:sup>
                  <m:r>
                    <m:t>2</m:t>
                  </m:r>
                </m:sup>
              </m:sSup>
              <m:r>
                <m:t>θ</m:t>
              </m:r>
            </m:e>
          </m:d>
          <m:r>
            <m:rPr>
              <m:sty m:val="p"/>
            </m:rPr>
            <m:t>+</m:t>
          </m:r>
          <m:f>
            <m:fPr>
              <m:type m:val="lin"/>
            </m:fPr>
            <m:num>
              <m:r>
                <m:t>1</m:t>
              </m:r>
            </m:num>
            <m:den>
              <m:r>
                <m:t>2</m:t>
              </m:r>
            </m:den>
          </m:f>
          <m:sSub>
            <m:e>
              <m:r>
                <m:t>I</m:t>
              </m:r>
            </m:e>
            <m:sub>
              <m:r>
                <m:t>3</m:t>
              </m:r>
            </m:sub>
          </m:sSub>
          <m:sSup>
            <m:e>
              <m:d>
                <m:dPr>
                  <m:begChr m:val="("/>
                  <m:endChr m:val=")"/>
                  <m:sepChr m:val=""/>
                  <m:grow/>
                </m:dPr>
                <m:e>
                  <m:acc>
                    <m:accPr>
                      <m:chr m:val="̇"/>
                    </m:accPr>
                    <m:e>
                      <m:r>
                        <m:t>ψ</m:t>
                      </m:r>
                    </m:e>
                  </m:acc>
                  <m:r>
                    <m:rPr>
                      <m:sty m:val="p"/>
                    </m:rPr>
                    <m:t>+</m:t>
                  </m:r>
                  <m:acc>
                    <m:accPr>
                      <m:chr m:val="̇"/>
                    </m:accPr>
                    <m:e>
                      <m:r>
                        <m:t>ϕ</m:t>
                      </m:r>
                    </m:e>
                  </m:acc>
                  <m:r>
                    <m:rPr>
                      <m:sty m:val="p"/>
                    </m:rPr>
                    <m:t>cos</m:t>
                  </m:r>
                  <m:r>
                    <m:t>θ</m:t>
                  </m:r>
                </m:e>
              </m:d>
            </m:e>
            <m:sup>
              <m:r>
                <m:t>2</m:t>
              </m:r>
            </m:sup>
          </m:sSup>
          <m:r>
            <m:rPr>
              <m:sty m:val="p"/>
            </m:rPr>
            <m:t>−</m:t>
          </m:r>
          <m:r>
            <m:t>M</m:t>
          </m:r>
          <m:r>
            <m:t>g</m:t>
          </m:r>
          <m:r>
            <m:t>l</m:t>
          </m:r>
          <m:r>
            <m:rPr>
              <m:sty m:val="p"/>
            </m:rPr>
            <m:t>cos</m:t>
          </m:r>
          <m:r>
            <m:t>θ</m:t>
          </m:r>
          <m:r>
            <m:rPr>
              <m:sty m:val="p"/>
            </m:rPr>
            <m:t>.</m:t>
          </m:r>
        </m:oMath>
      </m:oMathPara>
    </w:p>
    <w:bookmarkEnd w:id="22"/>
    <w:bookmarkStart w:id="23" w:name="bevarede-størrelser"/>
    <w:p>
      <w:pPr>
        <w:pStyle w:val="Heading2"/>
      </w:pPr>
      <w:r>
        <w:rPr>
          <w:rStyle w:val="SectionNumber"/>
        </w:rPr>
        <w:t xml:space="preserve">2.3</w:t>
      </w:r>
      <w:r>
        <w:tab/>
      </w:r>
      <w:r>
        <w:t xml:space="preserve">Bevarede størrelser</w:t>
      </w:r>
    </w:p>
    <w:p>
      <w:pPr>
        <w:pStyle w:val="FirstParagraph"/>
      </w:pPr>
      <w:r>
        <w:t xml:space="preserve">Da</w:t>
      </w:r>
      <w:r>
        <w:t xml:space="preserve"> </w:t>
      </w:r>
      <m:oMath>
        <m:r>
          <m:t>ϕ</m:t>
        </m:r>
      </m:oMath>
      <w:r>
        <w:t xml:space="preserve"> </w:t>
      </w:r>
      <w:r>
        <w:t xml:space="preserve">og</w:t>
      </w:r>
      <w:r>
        <w:t xml:space="preserve"> </w:t>
      </w:r>
      <m:oMath>
        <m:r>
          <m:t>ψ</m:t>
        </m:r>
      </m:oMath>
      <w:r>
        <w:t xml:space="preserve"> </w:t>
      </w:r>
      <w:r>
        <w:t xml:space="preserve">ikke optræder eksplicit, er de tilhørende kanoniske impulser bevaret:</w:t>
      </w:r>
    </w:p>
    <w:p>
      <w:pPr>
        <w:pStyle w:val="BodyText"/>
      </w:pPr>
      <m:oMathPara>
        <m:oMathParaPr>
          <m:jc m:val="center"/>
        </m:oMathParaPr>
        <m:oMath>
          <m:sSub>
            <m:e>
              <m:r>
                <m:t>p</m:t>
              </m:r>
            </m:e>
            <m:sub>
              <m:r>
                <m:t>ψ</m:t>
              </m:r>
            </m:sub>
          </m:sSub>
          <m:r>
            <m:rPr>
              <m:sty m:val="p"/>
            </m:rPr>
            <m:t>=</m:t>
          </m:r>
          <m:sSub>
            <m:e>
              <m:r>
                <m:t>I</m:t>
              </m:r>
            </m:e>
            <m:sub>
              <m:r>
                <m:t>3</m:t>
              </m:r>
            </m:sub>
          </m:sSub>
          <m:d>
            <m:dPr>
              <m:begChr m:val="("/>
              <m:endChr m:val=")"/>
              <m:sepChr m:val=""/>
              <m:grow/>
            </m:dPr>
            <m:e>
              <m:acc>
                <m:accPr>
                  <m:chr m:val="̇"/>
                </m:accPr>
                <m:e>
                  <m:r>
                    <m:t>ψ</m:t>
                  </m:r>
                </m:e>
              </m:acc>
              <m:r>
                <m:rPr>
                  <m:sty m:val="p"/>
                </m:rPr>
                <m:t>+</m:t>
              </m:r>
              <m:acc>
                <m:accPr>
                  <m:chr m:val="̇"/>
                </m:accPr>
                <m:e>
                  <m:r>
                    <m:t>ϕ</m:t>
                  </m:r>
                </m:e>
              </m:acc>
              <m:r>
                <m:rPr>
                  <m:sty m:val="p"/>
                </m:rPr>
                <m:t>cos</m:t>
              </m:r>
              <m:r>
                <m:t>θ</m:t>
              </m:r>
            </m:e>
          </m:d>
          <m:r>
            <m:rPr>
              <m:sty m:val="p"/>
            </m:rPr>
            <m:t>=</m:t>
          </m:r>
          <m:sSub>
            <m:e>
              <m:r>
                <m:t>I</m:t>
              </m:r>
            </m:e>
            <m:sub>
              <m:r>
                <m:t>3</m:t>
              </m:r>
            </m:sub>
          </m:sSub>
          <m:r>
            <m:t> </m:t>
          </m:r>
          <m:sSub>
            <m:e>
              <m:r>
                <m:t>ω</m:t>
              </m:r>
            </m:e>
            <m:sub>
              <m:r>
                <m:t>3</m:t>
              </m:r>
            </m:sub>
          </m:sSub>
          <m:r>
            <m:rPr>
              <m:sty m:val="p"/>
            </m:rPr>
            <m:t>≡</m:t>
          </m:r>
          <m:sSub>
            <m:e>
              <m:r>
                <m:t>L</m:t>
              </m:r>
            </m:e>
            <m:sub>
              <m:r>
                <m:t>3</m:t>
              </m:r>
            </m:sub>
          </m:sSub>
          <m:r>
            <m:rPr>
              <m:sty m:val="p"/>
            </m:rPr>
            <m:t>,</m:t>
          </m:r>
        </m:oMath>
      </m:oMathPara>
    </w:p>
    <w:p>
      <w:pPr>
        <w:pStyle w:val="FirstParagraph"/>
      </w:pPr>
      <m:oMathPara>
        <m:oMathParaPr>
          <m:jc m:val="center"/>
        </m:oMathParaPr>
        <m:oMath>
          <m:sSub>
            <m:e>
              <m:r>
                <m:t>p</m:t>
              </m:r>
            </m:e>
            <m:sub>
              <m:r>
                <m:t>ϕ</m:t>
              </m:r>
            </m:sub>
          </m:sSub>
          <m:r>
            <m:rPr>
              <m:sty m:val="p"/>
            </m:rPr>
            <m:t>=</m:t>
          </m:r>
          <m:sSub>
            <m:e>
              <m:r>
                <m:t>I</m:t>
              </m:r>
            </m:e>
            <m:sub>
              <m:r>
                <m:t>1</m:t>
              </m:r>
            </m:sub>
          </m:sSub>
          <m:r>
            <m:t> </m:t>
          </m:r>
          <m:acc>
            <m:accPr>
              <m:chr m:val="̇"/>
            </m:accPr>
            <m:e>
              <m:r>
                <m:t>ϕ</m:t>
              </m:r>
            </m:e>
          </m:acc>
          <m:r>
            <m:t> </m:t>
          </m:r>
          <m:sSup>
            <m:e>
              <m:r>
                <m:rPr>
                  <m:sty m:val="p"/>
                </m:rPr>
                <m:t>sin</m:t>
              </m:r>
            </m:e>
            <m:sup>
              <m:r>
                <m:t>2</m:t>
              </m:r>
            </m:sup>
          </m:sSup>
          <m:r>
            <m:t>θ</m:t>
          </m:r>
          <m:r>
            <m:rPr>
              <m:sty m:val="p"/>
            </m:rPr>
            <m:t>+</m:t>
          </m:r>
          <m:sSub>
            <m:e>
              <m:r>
                <m:t>L</m:t>
              </m:r>
            </m:e>
            <m:sub>
              <m:r>
                <m:t>3</m:t>
              </m:r>
            </m:sub>
          </m:sSub>
          <m:r>
            <m:rPr>
              <m:sty m:val="p"/>
            </m:rPr>
            <m:t>cos</m:t>
          </m:r>
          <m:r>
            <m:t>θ</m:t>
          </m:r>
          <m:r>
            <m:rPr>
              <m:sty m:val="p"/>
            </m:rPr>
            <m:t>≡</m:t>
          </m:r>
          <m:sSub>
            <m:e>
              <m:r>
                <m:t>L</m:t>
              </m:r>
            </m:e>
            <m:sub>
              <m:r>
                <m:t>z</m:t>
              </m:r>
            </m:sub>
          </m:sSub>
          <m:r>
            <m:rPr>
              <m:sty m:val="p"/>
            </m:rPr>
            <m:t>.</m:t>
          </m:r>
        </m:oMath>
      </m:oMathPara>
    </w:p>
    <w:p>
      <w:pPr>
        <w:pStyle w:val="FirstParagraph"/>
      </w:pPr>
      <m:oMath>
        <m:sSub>
          <m:e>
            <m:r>
              <m:t>L</m:t>
            </m:r>
          </m:e>
          <m:sub>
            <m:r>
              <m:t>3</m:t>
            </m:r>
          </m:sub>
        </m:sSub>
      </m:oMath>
      <w:r>
        <w:t xml:space="preserve"> </w:t>
      </w:r>
      <w:r>
        <w:t xml:space="preserve">er impulsmomentets komposant langs symmetriaksen og</w:t>
      </w:r>
      <w:r>
        <w:t xml:space="preserve"> </w:t>
      </w:r>
      <m:oMath>
        <m:sSub>
          <m:e>
            <m:r>
              <m:t>L</m:t>
            </m:r>
          </m:e>
          <m:sub>
            <m:r>
              <m:t>z</m:t>
            </m:r>
          </m:sub>
        </m:sSub>
      </m:oMath>
      <w:r>
        <w:t xml:space="preserve"> </w:t>
      </w:r>
      <w:r>
        <w:t xml:space="preserve">komposanten langs lodret. Tyngdemomentet står vinkelret på begge akser, og derfor er begge bevaret. Desuden er energien bevaret:</w:t>
      </w:r>
    </w:p>
    <w:p>
      <w:pPr>
        <w:pStyle w:val="BodyText"/>
      </w:pPr>
      <m:oMathPara>
        <m:oMathParaPr>
          <m:jc m:val="center"/>
        </m:oMathParaPr>
        <m:oMath>
          <m:r>
            <m:t>E</m:t>
          </m:r>
          <m:r>
            <m:rPr>
              <m:sty m:val="p"/>
            </m:rPr>
            <m:t>=</m:t>
          </m:r>
          <m:f>
            <m:fPr>
              <m:type m:val="lin"/>
            </m:fPr>
            <m:num>
              <m:r>
                <m:t>1</m:t>
              </m:r>
            </m:num>
            <m:den>
              <m:r>
                <m:t>2</m:t>
              </m:r>
            </m:den>
          </m:f>
          <m:sSub>
            <m:e>
              <m:r>
                <m:t>I</m:t>
              </m:r>
            </m:e>
            <m:sub>
              <m:r>
                <m:t>1</m:t>
              </m:r>
            </m:sub>
          </m:sSub>
          <m:d>
            <m:dPr>
              <m:begChr m:val="("/>
              <m:endChr m:val=")"/>
              <m:sepChr m:val=""/>
              <m:grow/>
            </m:dPr>
            <m:e>
              <m:sSup>
                <m:e>
                  <m:acc>
                    <m:accPr>
                      <m:chr m:val="̇"/>
                    </m:accPr>
                    <m:e>
                      <m:r>
                        <m:t>θ</m:t>
                      </m:r>
                    </m:e>
                  </m:acc>
                </m:e>
                <m:sup>
                  <m:r>
                    <m:t>2</m:t>
                  </m:r>
                </m:sup>
              </m:sSup>
              <m:r>
                <m:rPr>
                  <m:sty m:val="p"/>
                </m:rPr>
                <m:t>+</m:t>
              </m:r>
              <m:sSup>
                <m:e>
                  <m:acc>
                    <m:accPr>
                      <m:chr m:val="̇"/>
                    </m:accPr>
                    <m:e>
                      <m:r>
                        <m:t>ϕ</m:t>
                      </m:r>
                    </m:e>
                  </m:acc>
                </m:e>
                <m:sup>
                  <m:r>
                    <m:t>2</m:t>
                  </m:r>
                </m:sup>
              </m:sSup>
              <m:sSup>
                <m:e>
                  <m:r>
                    <m:rPr>
                      <m:sty m:val="p"/>
                    </m:rPr>
                    <m:t>sin</m:t>
                  </m:r>
                </m:e>
                <m:sup>
                  <m:r>
                    <m:t>2</m:t>
                  </m:r>
                </m:sup>
              </m:sSup>
              <m:r>
                <m:t>θ</m:t>
              </m:r>
            </m:e>
          </m:d>
          <m:r>
            <m:rPr>
              <m:sty m:val="p"/>
            </m:rPr>
            <m:t>+</m:t>
          </m:r>
          <m:f>
            <m:fPr>
              <m:type m:val="bar"/>
            </m:fPr>
            <m:num>
              <m:sSubSup>
                <m:e>
                  <m:r>
                    <m:t>L</m:t>
                  </m:r>
                </m:e>
                <m:sub>
                  <m:r>
                    <m:t>3</m:t>
                  </m:r>
                </m:sub>
                <m:sup>
                  <m:r>
                    <m:t>2</m:t>
                  </m:r>
                </m:sup>
              </m:sSubSup>
            </m:num>
            <m:den>
              <m:r>
                <m:t>2</m:t>
              </m:r>
              <m:sSub>
                <m:e>
                  <m:r>
                    <m:t>I</m:t>
                  </m:r>
                </m:e>
                <m:sub>
                  <m:r>
                    <m:t>3</m:t>
                  </m:r>
                </m:sub>
              </m:sSub>
            </m:den>
          </m:f>
          <m:r>
            <m:rPr>
              <m:sty m:val="p"/>
            </m:rPr>
            <m:t>+</m:t>
          </m:r>
          <m:r>
            <m:t>M</m:t>
          </m:r>
          <m:r>
            <m:t>g</m:t>
          </m:r>
          <m:r>
            <m:t>l</m:t>
          </m:r>
          <m:r>
            <m:rPr>
              <m:sty m:val="p"/>
            </m:rPr>
            <m:t>cos</m:t>
          </m:r>
          <m:r>
            <m:t>θ</m:t>
          </m:r>
          <m:r>
            <m:rPr>
              <m:sty m:val="p"/>
            </m:rPr>
            <m:t>.</m:t>
          </m:r>
        </m:oMath>
      </m:oMathPara>
    </w:p>
    <w:bookmarkEnd w:id="23"/>
    <w:bookmarkStart w:id="27" w:name="stationær-præcession"/>
    <w:p>
      <w:pPr>
        <w:pStyle w:val="Heading2"/>
      </w:pPr>
      <w:r>
        <w:rPr>
          <w:rStyle w:val="SectionNumber"/>
        </w:rPr>
        <w:t xml:space="preserve">2.4</w:t>
      </w:r>
      <w:r>
        <w:tab/>
      </w:r>
      <w:r>
        <w:t xml:space="preserve">Stationær præcession</w:t>
      </w:r>
    </w:p>
    <w:p>
      <w:pPr>
        <w:pStyle w:val="FirstParagraph"/>
      </w:pPr>
      <w:r>
        <w:t xml:space="preserve">Lagrange-ligningen for</w:t>
      </w:r>
      <w:r>
        <w:t xml:space="preserve"> </w:t>
      </w:r>
      <m:oMath>
        <m:r>
          <m:t>θ</m:t>
        </m:r>
      </m:oMath>
      <w:r>
        <w:t xml:space="preserve"> </w:t>
      </w:r>
      <w:r>
        <w:t xml:space="preserve">lyder</w:t>
      </w:r>
    </w:p>
    <w:p>
      <w:pPr>
        <w:pStyle w:val="BodyText"/>
      </w:pPr>
      <m:oMathPara>
        <m:oMathParaPr>
          <m:jc m:val="center"/>
        </m:oMathParaPr>
        <m:oMath>
          <m:sSub>
            <m:e>
              <m:r>
                <m:t>I</m:t>
              </m:r>
            </m:e>
            <m:sub>
              <m:r>
                <m:t>1</m:t>
              </m:r>
            </m:sub>
          </m:sSub>
          <m:acc>
            <m:accPr>
              <m:chr m:val="̈"/>
            </m:accPr>
            <m:e>
              <m:r>
                <m:t>θ</m:t>
              </m:r>
            </m:e>
          </m:acc>
          <m:r>
            <m:rPr>
              <m:sty m:val="p"/>
            </m:rPr>
            <m:t>=</m:t>
          </m:r>
          <m:sSub>
            <m:e>
              <m:r>
                <m:t>I</m:t>
              </m:r>
            </m:e>
            <m:sub>
              <m:r>
                <m:t>1</m:t>
              </m:r>
            </m:sub>
          </m:sSub>
          <m:sSup>
            <m:e>
              <m:acc>
                <m:accPr>
                  <m:chr m:val="̇"/>
                </m:accPr>
                <m:e>
                  <m:r>
                    <m:t>ϕ</m:t>
                  </m:r>
                </m:e>
              </m:acc>
            </m:e>
            <m:sup>
              <m:r>
                <m:t>2</m:t>
              </m:r>
            </m:sup>
          </m:sSup>
          <m:r>
            <m:rPr>
              <m:sty m:val="p"/>
            </m:rPr>
            <m:t>sin</m:t>
          </m:r>
          <m:r>
            <m:t>θ</m:t>
          </m:r>
          <m:r>
            <m:rPr>
              <m:sty m:val="p"/>
            </m:rPr>
            <m:t>cos</m:t>
          </m:r>
          <m:r>
            <m:t>θ</m:t>
          </m:r>
          <m:r>
            <m:rPr>
              <m:sty m:val="p"/>
            </m:rPr>
            <m:t>−</m:t>
          </m:r>
          <m:sSub>
            <m:e>
              <m:r>
                <m:t>L</m:t>
              </m:r>
            </m:e>
            <m:sub>
              <m:r>
                <m:t>3</m:t>
              </m:r>
            </m:sub>
          </m:sSub>
          <m:r>
            <m:t> </m:t>
          </m:r>
          <m:acc>
            <m:accPr>
              <m:chr m:val="̇"/>
            </m:accPr>
            <m:e>
              <m:r>
                <m:t>ϕ</m:t>
              </m:r>
            </m:e>
          </m:acc>
          <m:r>
            <m:t> </m:t>
          </m:r>
          <m:r>
            <m:rPr>
              <m:sty m:val="p"/>
            </m:rPr>
            <m:t>sin</m:t>
          </m:r>
          <m:r>
            <m:t>θ</m:t>
          </m:r>
          <m:r>
            <m:rPr>
              <m:sty m:val="p"/>
            </m:rPr>
            <m:t>+</m:t>
          </m:r>
          <m:r>
            <m:t>M</m:t>
          </m:r>
          <m:r>
            <m:t>g</m:t>
          </m:r>
          <m:r>
            <m:t>l</m:t>
          </m:r>
          <m:r>
            <m:rPr>
              <m:sty m:val="p"/>
            </m:rPr>
            <m:t>sin</m:t>
          </m:r>
          <m:r>
            <m:t>θ</m:t>
          </m:r>
          <m:r>
            <m:rPr>
              <m:sty m:val="p"/>
            </m:rPr>
            <m:t>.</m:t>
          </m:r>
        </m:oMath>
      </m:oMathPara>
    </w:p>
    <w:p>
      <w:pPr>
        <w:pStyle w:val="FirstParagraph"/>
      </w:pPr>
      <w:r>
        <w:t xml:space="preserve">Ved stationær præcession er</w:t>
      </w:r>
      <w:r>
        <w:t xml:space="preserve"> </w:t>
      </w:r>
      <m:oMath>
        <m:acc>
          <m:accPr>
            <m:chr m:val="̇"/>
          </m:accPr>
          <m:e>
            <m:r>
              <m:t>θ</m:t>
            </m:r>
          </m:e>
        </m:acc>
        <m:r>
          <m:rPr>
            <m:sty m:val="p"/>
          </m:rPr>
          <m:t>=</m:t>
        </m:r>
        <m:acc>
          <m:accPr>
            <m:chr m:val="̈"/>
          </m:accPr>
          <m:e>
            <m:r>
              <m:t>θ</m:t>
            </m:r>
          </m:e>
        </m:acc>
        <m:r>
          <m:rPr>
            <m:sty m:val="p"/>
          </m:rPr>
          <m:t>=</m:t>
        </m:r>
        <m:r>
          <m:t>0</m:t>
        </m:r>
      </m:oMath>
      <w:r>
        <w:t xml:space="preserve">. For</w:t>
      </w:r>
      <w:r>
        <w:t xml:space="preserve"> </w:t>
      </w:r>
      <m:oMath>
        <m:r>
          <m:rPr>
            <m:sty m:val="p"/>
          </m:rPr>
          <m:t>sin</m:t>
        </m:r>
        <m:r>
          <m:t>θ</m:t>
        </m:r>
        <m:r>
          <m:rPr>
            <m:sty m:val="p"/>
          </m:rPr>
          <m:t>≠</m:t>
        </m:r>
        <m:r>
          <m:t>0</m:t>
        </m:r>
      </m:oMath>
      <w:r>
        <w:t xml:space="preserve"> </w:t>
      </w:r>
      <w:r>
        <w:t xml:space="preserve">giver det en andengradsligning i</w:t>
      </w:r>
      <w:r>
        <w:t xml:space="preserve"> </w:t>
      </w:r>
      <m:oMath>
        <m:acc>
          <m:accPr>
            <m:chr m:val="̇"/>
          </m:accPr>
          <m:e>
            <m:r>
              <m:t>ϕ</m:t>
            </m:r>
          </m:e>
        </m:acc>
      </m:oMath>
      <w:r>
        <w:t xml:space="preserve">:</w:t>
      </w:r>
    </w:p>
    <w:p>
      <w:pPr>
        <w:pStyle w:val="BodyText"/>
      </w:pPr>
      <m:oMathPara>
        <m:oMathParaPr>
          <m:jc m:val="center"/>
        </m:oMathParaPr>
        <m:oMath>
          <m:sSub>
            <m:e>
              <m:r>
                <m:t>I</m:t>
              </m:r>
            </m:e>
            <m:sub>
              <m:r>
                <m:t>1</m:t>
              </m:r>
            </m:sub>
          </m:sSub>
          <m:r>
            <m:rPr>
              <m:sty m:val="p"/>
            </m:rPr>
            <m:t>cos</m:t>
          </m:r>
          <m:r>
            <m:t>θ</m:t>
          </m:r>
          <m:r>
            <m:t> </m:t>
          </m:r>
          <m:sSup>
            <m:e>
              <m:acc>
                <m:accPr>
                  <m:chr m:val="̇"/>
                </m:accPr>
                <m:e>
                  <m:r>
                    <m:t>ϕ</m:t>
                  </m:r>
                </m:e>
              </m:acc>
            </m:e>
            <m:sup>
              <m:r>
                <m:t>2</m:t>
              </m:r>
            </m:sup>
          </m:sSup>
          <m:r>
            <m:rPr>
              <m:sty m:val="p"/>
            </m:rPr>
            <m:t>−</m:t>
          </m:r>
          <m:sSub>
            <m:e>
              <m:r>
                <m:t>L</m:t>
              </m:r>
            </m:e>
            <m:sub>
              <m:r>
                <m:t>3</m:t>
              </m:r>
            </m:sub>
          </m:sSub>
          <m:r>
            <m:t> </m:t>
          </m:r>
          <m:acc>
            <m:accPr>
              <m:chr m:val="̇"/>
            </m:accPr>
            <m:e>
              <m:r>
                <m:t>ϕ</m:t>
              </m:r>
            </m:e>
          </m:acc>
          <m:r>
            <m:rPr>
              <m:sty m:val="p"/>
            </m:rPr>
            <m:t>+</m:t>
          </m:r>
          <m:r>
            <m:t>M</m:t>
          </m:r>
          <m:r>
            <m:t>g</m:t>
          </m:r>
          <m:r>
            <m:t>l</m:t>
          </m:r>
          <m:r>
            <m:rPr>
              <m:sty m:val="p"/>
            </m:rPr>
            <m:t>=</m:t>
          </m:r>
          <m:r>
            <m:t>0</m:t>
          </m:r>
          <m:r>
            <m:rPr>
              <m:sty m:val="p"/>
            </m:rPr>
            <m:t>,</m:t>
          </m:r>
        </m:oMath>
      </m:oMathPara>
    </w:p>
    <w:p>
      <w:pPr>
        <w:pStyle w:val="FirstParagraph"/>
      </w:pPr>
      <m:oMathPara>
        <m:oMathParaPr>
          <m:jc m:val="center"/>
        </m:oMathParaPr>
        <m:oMath>
          <m:sSub>
            <m:e>
              <m:acc>
                <m:accPr>
                  <m:chr m:val="̇"/>
                </m:accPr>
                <m:e>
                  <m:r>
                    <m:t>ϕ</m:t>
                  </m:r>
                </m:e>
              </m:acc>
            </m:e>
            <m:sub>
              <m:r>
                <m:rPr>
                  <m:sty m:val="p"/>
                </m:rPr>
                <m:t>±</m:t>
              </m:r>
            </m:sub>
          </m:sSub>
          <m:r>
            <m:rPr>
              <m:sty m:val="p"/>
            </m:rPr>
            <m:t>=</m:t>
          </m:r>
          <m:f>
            <m:fPr>
              <m:type m:val="bar"/>
            </m:fPr>
            <m:num>
              <m:sSub>
                <m:e>
                  <m:r>
                    <m:t>L</m:t>
                  </m:r>
                </m:e>
                <m:sub>
                  <m:r>
                    <m:t>3</m:t>
                  </m:r>
                </m:sub>
              </m:sSub>
              <m:r>
                <m:rPr>
                  <m:sty m:val="p"/>
                </m:rPr>
                <m:t>±</m:t>
              </m:r>
              <m:rad>
                <m:radPr>
                  <m:degHide m:val="on"/>
                </m:radPr>
                <m:deg/>
                <m:e>
                  <m:sSubSup>
                    <m:e>
                      <m:r>
                        <m:t>L</m:t>
                      </m:r>
                    </m:e>
                    <m:sub>
                      <m:r>
                        <m:t>3</m:t>
                      </m:r>
                    </m:sub>
                    <m:sup>
                      <m:r>
                        <m:t>2</m:t>
                      </m:r>
                    </m:sup>
                  </m:sSubSup>
                  <m:r>
                    <m:rPr>
                      <m:sty m:val="p"/>
                    </m:rPr>
                    <m:t>−</m:t>
                  </m:r>
                  <m:r>
                    <m:t>4</m:t>
                  </m:r>
                  <m:sSub>
                    <m:e>
                      <m:r>
                        <m:t>I</m:t>
                      </m:r>
                    </m:e>
                    <m:sub>
                      <m:r>
                        <m:t>1</m:t>
                      </m:r>
                    </m:sub>
                  </m:sSub>
                  <m:r>
                    <m:t>M</m:t>
                  </m:r>
                  <m:r>
                    <m:t>g</m:t>
                  </m:r>
                  <m:r>
                    <m:t>l</m:t>
                  </m:r>
                  <m:r>
                    <m:rPr>
                      <m:sty m:val="p"/>
                    </m:rPr>
                    <m:t>cos</m:t>
                  </m:r>
                  <m:r>
                    <m:t>θ</m:t>
                  </m:r>
                </m:e>
              </m:rad>
            </m:num>
            <m:den>
              <m:r>
                <m:t>2</m:t>
              </m:r>
              <m:sSub>
                <m:e>
                  <m:r>
                    <m:t>I</m:t>
                  </m:r>
                </m:e>
                <m:sub>
                  <m:r>
                    <m:t>1</m:t>
                  </m:r>
                </m:sub>
              </m:sSub>
              <m:r>
                <m:rPr>
                  <m:sty m:val="p"/>
                </m:rPr>
                <m:t>cos</m:t>
              </m:r>
              <m:r>
                <m:t>θ</m:t>
              </m:r>
            </m:den>
          </m:f>
          <m:r>
            <m:rPr>
              <m:sty m:val="p"/>
            </m:rPr>
            <m:t>.</m:t>
          </m:r>
        </m:oMath>
      </m:oMathPara>
    </w:p>
    <w:p>
      <w:pPr>
        <w:pStyle w:val="FirstParagraph"/>
      </w:pPr>
      <w:r>
        <w:t xml:space="preserve">For en hurtig top,</w:t>
      </w:r>
      <w:r>
        <w:t xml:space="preserve"> </w:t>
      </w:r>
      <m:oMath>
        <m:sSubSup>
          <m:e>
            <m:r>
              <m:t>L</m:t>
            </m:r>
          </m:e>
          <m:sub>
            <m:r>
              <m:t>3</m:t>
            </m:r>
          </m:sub>
          <m:sup>
            <m:r>
              <m:t>2</m:t>
            </m:r>
          </m:sup>
        </m:sSubSup>
        <m:r>
          <m:rPr>
            <m:sty m:val="p"/>
          </m:rPr>
          <m:t>≫</m:t>
        </m:r>
        <m:r>
          <m:t>4</m:t>
        </m:r>
        <m:sSub>
          <m:e>
            <m:r>
              <m:t>I</m:t>
            </m:r>
          </m:e>
          <m:sub>
            <m:r>
              <m:t>1</m:t>
            </m:r>
          </m:sub>
        </m:sSub>
        <m:r>
          <m:t>M</m:t>
        </m:r>
        <m:r>
          <m:t>g</m:t>
        </m:r>
        <m:r>
          <m:t>l</m:t>
        </m:r>
        <m:r>
          <m:rPr>
            <m:sty m:val="p"/>
          </m:rPr>
          <m:t>cos</m:t>
        </m:r>
        <m:r>
          <m:t>θ</m:t>
        </m:r>
      </m:oMath>
      <w:r>
        <w:t xml:space="preserve">, udvikles kvadratroden, og man får to grene:</w:t>
      </w:r>
    </w:p>
    <w:p>
      <w:pPr>
        <w:pStyle w:val="BodyText"/>
      </w:pPr>
      <m:oMathPara>
        <m:oMathParaPr>
          <m:jc m:val="center"/>
        </m:oMathParaPr>
        <m:oMath>
          <m:sSub>
            <m:e>
              <m:acc>
                <m:accPr>
                  <m:chr m:val="̇"/>
                </m:accPr>
                <m:e>
                  <m:r>
                    <m:t>ϕ</m:t>
                  </m:r>
                </m:e>
              </m:acc>
            </m:e>
            <m:sub>
              <m:r>
                <m:rPr>
                  <m:sty m:val="p"/>
                </m:rPr>
                <m:t>−</m:t>
              </m:r>
            </m:sub>
          </m:sSub>
          <m:r>
            <m:rPr>
              <m:sty m:val="p"/>
            </m:rPr>
            <m:t>≈</m:t>
          </m:r>
          <m:f>
            <m:fPr>
              <m:type m:val="bar"/>
            </m:fPr>
            <m:num>
              <m:r>
                <m:t>M</m:t>
              </m:r>
              <m:r>
                <m:t>g</m:t>
              </m:r>
              <m:r>
                <m:t>l</m:t>
              </m:r>
            </m:num>
            <m:den>
              <m:sSub>
                <m:e>
                  <m:r>
                    <m:t>I</m:t>
                  </m:r>
                </m:e>
                <m:sub>
                  <m:r>
                    <m:t>3</m:t>
                  </m:r>
                </m:sub>
              </m:sSub>
              <m:r>
                <m:t> </m:t>
              </m:r>
              <m:sSub>
                <m:e>
                  <m:r>
                    <m:t>ω</m:t>
                  </m:r>
                </m:e>
                <m:sub>
                  <m:r>
                    <m:t>3</m:t>
                  </m:r>
                </m:sub>
              </m:sSub>
            </m:den>
          </m:f>
          <m:r>
            <m:t> </m:t>
          </m:r>
          <m:r>
            <m:rPr>
              <m:nor/>
              <m:sty m:val="p"/>
            </m:rPr>
            <m:t>(langsom præcession)</m:t>
          </m:r>
          <m:r>
            <m:rPr>
              <m:sty m:val="p"/>
            </m:rPr>
            <m:t>,</m:t>
          </m:r>
          <m:r>
            <m:t>  </m:t>
          </m:r>
          <m:sSub>
            <m:e>
              <m:acc>
                <m:accPr>
                  <m:chr m:val="̇"/>
                </m:accPr>
                <m:e>
                  <m:r>
                    <m:t>ϕ</m:t>
                  </m:r>
                </m:e>
              </m:acc>
            </m:e>
            <m:sub>
              <m:r>
                <m:rPr>
                  <m:sty m:val="p"/>
                </m:rPr>
                <m:t>+</m:t>
              </m:r>
            </m:sub>
          </m:sSub>
          <m:r>
            <m:rPr>
              <m:sty m:val="p"/>
            </m:rPr>
            <m:t>≈</m:t>
          </m:r>
          <m:f>
            <m:fPr>
              <m:type m:val="bar"/>
            </m:fPr>
            <m:num>
              <m:sSub>
                <m:e>
                  <m:r>
                    <m:t>I</m:t>
                  </m:r>
                </m:e>
                <m:sub>
                  <m:r>
                    <m:t>3</m:t>
                  </m:r>
                </m:sub>
              </m:sSub>
              <m:r>
                <m:t> </m:t>
              </m:r>
              <m:sSub>
                <m:e>
                  <m:r>
                    <m:t>ω</m:t>
                  </m:r>
                </m:e>
                <m:sub>
                  <m:r>
                    <m:t>3</m:t>
                  </m:r>
                </m:sub>
              </m:sSub>
            </m:num>
            <m:den>
              <m:sSub>
                <m:e>
                  <m:r>
                    <m:t>I</m:t>
                  </m:r>
                </m:e>
                <m:sub>
                  <m:r>
                    <m:t>1</m:t>
                  </m:r>
                </m:sub>
              </m:sSub>
              <m:r>
                <m:rPr>
                  <m:sty m:val="p"/>
                </m:rPr>
                <m:t>cos</m:t>
              </m:r>
              <m:r>
                <m:t>θ</m:t>
              </m:r>
            </m:den>
          </m:f>
          <m:r>
            <m:t> </m:t>
          </m:r>
          <m:r>
            <m:rPr>
              <m:nor/>
              <m:sty m:val="p"/>
            </m:rPr>
            <m:t>(hurtig præcession)</m:t>
          </m:r>
          <m:r>
            <m:rPr>
              <m:sty m:val="p"/>
            </m:rPr>
            <m:t>.</m:t>
          </m:r>
        </m:oMath>
      </m:oMathPara>
    </w:p>
    <w:p>
      <w:pPr>
        <w:pStyle w:val="FirstParagraph"/>
      </w:pPr>
      <w:r>
        <w:t xml:space="preserve">Den langsomme gren genfinder vektorresultatet. Det er den, man ser i praksis, fordi den hurtige kræver særlige begyndelsesbetingelser. Figur 1 viser begge grene.</w:t>
      </w:r>
    </w:p>
    <w:p>
      <w:pPr>
        <w:pStyle w:val="CaptionedFigure"/>
      </w:pPr>
      <w:r>
        <w:drawing>
          <wp:inline>
            <wp:extent cx="4533900" cy="2871470"/>
            <wp:effectExtent b="0" l="0" r="0" t="0"/>
            <wp:docPr descr="Figur 1. Stationær præcessionsfrekvens som funktion af egenrotationen ved fast hældning (\theta = 30^\circ). Under \omega_{3,\min} findes ingen stationær præcession. De stiplede kurver er de asymptotiske udtryk." title="" id="25" name="Picture"/>
            <a:graphic>
              <a:graphicData uri="http://schemas.openxmlformats.org/drawingml/2006/picture">
                <pic:pic>
                  <pic:nvPicPr>
                    <pic:cNvPr descr="fig2.png" id="26" name="Picture"/>
                    <pic:cNvPicPr>
                      <a:picLocks noChangeArrowheads="1" noChangeAspect="1"/>
                    </pic:cNvPicPr>
                  </pic:nvPicPr>
                  <pic:blipFill>
                    <a:blip r:embed="rId24"/>
                    <a:stretch>
                      <a:fillRect/>
                    </a:stretch>
                  </pic:blipFill>
                  <pic:spPr bwMode="auto">
                    <a:xfrm>
                      <a:off x="0" y="0"/>
                      <a:ext cx="4533900" cy="2871470"/>
                    </a:xfrm>
                    <a:prstGeom prst="rect">
                      <a:avLst/>
                    </a:prstGeom>
                    <a:noFill/>
                    <a:ln w="9525">
                      <a:noFill/>
                      <a:headEnd/>
                      <a:tailEnd/>
                    </a:ln>
                  </pic:spPr>
                </pic:pic>
              </a:graphicData>
            </a:graphic>
          </wp:inline>
        </w:drawing>
      </w:r>
    </w:p>
    <w:p>
      <w:pPr>
        <w:pStyle w:val="ImageCaption"/>
      </w:pPr>
      <w:r>
        <w:t xml:space="preserve">Figur 1. Stationær præcessionsfrekvens som funktion af egenrotationen ved fast hældning (</w:t>
      </w:r>
      <m:oMath>
        <m:r>
          <m:t>θ</m:t>
        </m:r>
        <m:r>
          <m:rPr>
            <m:sty m:val="p"/>
          </m:rPr>
          <m:t>=</m:t>
        </m:r>
        <m:sSup>
          <m:e>
            <m:r>
              <m:t>30</m:t>
            </m:r>
          </m:e>
          <m:sup>
            <m:r>
              <m:rPr>
                <m:sty m:val="p"/>
              </m:rPr>
              <m:t>∘</m:t>
            </m:r>
          </m:sup>
        </m:sSup>
      </m:oMath>
      <w:r>
        <w:t xml:space="preserve">). Under</w:t>
      </w:r>
      <w:r>
        <w:t xml:space="preserve"> </w:t>
      </w:r>
      <m:oMath>
        <m:sSub>
          <m:e>
            <m:r>
              <m:t>ω</m:t>
            </m:r>
          </m:e>
          <m:sub>
            <m:r>
              <m:t>3</m:t>
            </m:r>
            <m:r>
              <m:rPr>
                <m:sty m:val="p"/>
              </m:rPr>
              <m:t>,</m:t>
            </m:r>
            <m:r>
              <m:rPr>
                <m:sty m:val="p"/>
              </m:rPr>
              <m:t>min</m:t>
            </m:r>
          </m:sub>
        </m:sSub>
      </m:oMath>
      <w:r>
        <w:t xml:space="preserve"> </w:t>
      </w:r>
      <w:r>
        <w:t xml:space="preserve">findes ingen stationær præcession. De stiplede kurver er de asymptotiske udtryk.</w:t>
      </w:r>
    </w:p>
    <w:p>
      <w:pPr>
        <w:pStyle w:val="BodyText"/>
      </w:pPr>
      <w:r>
        <w:t xml:space="preserve">Diskriminanten skal være ikke-negativ, så stationær præcession kræver</w:t>
      </w:r>
    </w:p>
    <w:p>
      <w:pPr>
        <w:pStyle w:val="BodyText"/>
      </w:pPr>
      <m:oMathPara>
        <m:oMathParaPr>
          <m:jc m:val="center"/>
        </m:oMathParaPr>
        <m:oMath>
          <m:sSubSup>
            <m:e>
              <m:r>
                <m:t>L</m:t>
              </m:r>
            </m:e>
            <m:sub>
              <m:r>
                <m:t>3</m:t>
              </m:r>
            </m:sub>
            <m:sup>
              <m:r>
                <m:t>2</m:t>
              </m:r>
            </m:sup>
          </m:sSubSup>
          <m:r>
            <m:rPr>
              <m:sty m:val="p"/>
            </m:rPr>
            <m:t>≥</m:t>
          </m:r>
          <m:r>
            <m:t>4</m:t>
          </m:r>
          <m:sSub>
            <m:e>
              <m:r>
                <m:t>I</m:t>
              </m:r>
            </m:e>
            <m:sub>
              <m:r>
                <m:t>1</m:t>
              </m:r>
            </m:sub>
          </m:sSub>
          <m:r>
            <m:t>M</m:t>
          </m:r>
          <m:r>
            <m:t>g</m:t>
          </m:r>
          <m:r>
            <m:t>l</m:t>
          </m:r>
          <m:r>
            <m:rPr>
              <m:sty m:val="p"/>
            </m:rPr>
            <m:t>cos</m:t>
          </m:r>
          <m:r>
            <m:t>θ</m:t>
          </m:r>
          <m:r>
            <m:rPr>
              <m:sty m:val="p"/>
            </m:rPr>
            <m:t>.</m:t>
          </m:r>
        </m:oMath>
      </m:oMathPara>
    </w:p>
    <w:bookmarkEnd w:id="27"/>
    <w:bookmarkStart w:id="28" w:name="den-sovende-top"/>
    <w:p>
      <w:pPr>
        <w:pStyle w:val="Heading2"/>
      </w:pPr>
      <w:r>
        <w:rPr>
          <w:rStyle w:val="SectionNumber"/>
        </w:rPr>
        <w:t xml:space="preserve">2.5</w:t>
      </w:r>
      <w:r>
        <w:tab/>
      </w:r>
      <w:r>
        <w:t xml:space="preserve">Den sovende top</w:t>
      </w:r>
    </w:p>
    <w:p>
      <w:pPr>
        <w:pStyle w:val="FirstParagraph"/>
      </w:pPr>
      <w:r>
        <w:t xml:space="preserve">For</w:t>
      </w:r>
      <w:r>
        <w:t xml:space="preserve"> </w:t>
      </w:r>
      <m:oMath>
        <m:r>
          <m:t>θ</m:t>
        </m:r>
        <m:r>
          <m:rPr>
            <m:sty m:val="p"/>
          </m:rPr>
          <m:t>=</m:t>
        </m:r>
        <m:r>
          <m:t>0</m:t>
        </m:r>
      </m:oMath>
      <w:r>
        <w:t xml:space="preserve"> </w:t>
      </w:r>
      <w:r>
        <w:t xml:space="preserve">står toppen lodret og</w:t>
      </w:r>
      <w:r>
        <w:t xml:space="preserve"> </w:t>
      </w:r>
      <w:r>
        <w:t xml:space="preserve">“</w:t>
      </w:r>
      <w:r>
        <w:t xml:space="preserve">sover</w:t>
      </w:r>
      <w:r>
        <w:t xml:space="preserve">”</w:t>
      </w:r>
      <w:r>
        <w:t xml:space="preserve">. Man kan vise, at denne tilstand er stabil netop når samme betingelse er opfyldt for</w:t>
      </w:r>
      <w:r>
        <w:t xml:space="preserve"> </w:t>
      </w:r>
      <m:oMath>
        <m:r>
          <m:rPr>
            <m:sty m:val="p"/>
          </m:rPr>
          <m:t>cos</m:t>
        </m:r>
        <m:r>
          <m:t>θ</m:t>
        </m:r>
        <m:r>
          <m:rPr>
            <m:sty m:val="p"/>
          </m:rPr>
          <m:t>=</m:t>
        </m:r>
        <m:r>
          <m:t>1</m:t>
        </m:r>
      </m:oMath>
      <w:r>
        <w:t xml:space="preserve">:</w:t>
      </w:r>
    </w:p>
    <w:p>
      <w:pPr>
        <w:pStyle w:val="BodyText"/>
      </w:pPr>
      <m:oMathPara>
        <m:oMathParaPr>
          <m:jc m:val="center"/>
        </m:oMathParaPr>
        <m:oMath>
          <m:sSubSup>
            <m:e>
              <m:r>
                <m:t>ω</m:t>
              </m:r>
            </m:e>
            <m:sub>
              <m:r>
                <m:t>3</m:t>
              </m:r>
            </m:sub>
            <m:sup>
              <m:r>
                <m:t>2</m:t>
              </m:r>
            </m:sup>
          </m:sSubSup>
          <m:r>
            <m:rPr>
              <m:sty m:val="p"/>
            </m:rPr>
            <m:t>&gt;</m:t>
          </m:r>
          <m:f>
            <m:fPr>
              <m:type m:val="bar"/>
            </m:fPr>
            <m:num>
              <m:r>
                <m:t>4</m:t>
              </m:r>
              <m:sSub>
                <m:e>
                  <m:r>
                    <m:t>I</m:t>
                  </m:r>
                </m:e>
                <m:sub>
                  <m:r>
                    <m:t>1</m:t>
                  </m:r>
                </m:sub>
              </m:sSub>
              <m:r>
                <m:t>M</m:t>
              </m:r>
              <m:r>
                <m:t>g</m:t>
              </m:r>
              <m:r>
                <m:t>l</m:t>
              </m:r>
            </m:num>
            <m:den>
              <m:sSubSup>
                <m:e>
                  <m:r>
                    <m:t>I</m:t>
                  </m:r>
                </m:e>
                <m:sub>
                  <m:r>
                    <m:t>3</m:t>
                  </m:r>
                </m:sub>
                <m:sup>
                  <m:r>
                    <m:t>2</m:t>
                  </m:r>
                </m:sup>
              </m:sSubSup>
            </m:den>
          </m:f>
          <m:r>
            <m:rPr>
              <m:sty m:val="p"/>
            </m:rPr>
            <m:t>.</m:t>
          </m:r>
        </m:oMath>
      </m:oMathPara>
    </w:p>
    <w:p>
      <w:pPr>
        <w:pStyle w:val="FirstParagraph"/>
      </w:pPr>
      <w:r>
        <w:t xml:space="preserve">Friktion i støttepunktet og luftmodstand sænker gradvis</w:t>
      </w:r>
      <w:r>
        <w:t xml:space="preserve"> </w:t>
      </w:r>
      <m:oMath>
        <m:sSub>
          <m:e>
            <m:r>
              <m:t>ω</m:t>
            </m:r>
          </m:e>
          <m:sub>
            <m:r>
              <m:t>3</m:t>
            </m:r>
          </m:sub>
        </m:sSub>
      </m:oMath>
      <w:r>
        <w:t xml:space="preserve">. Når betingelsen brydes, begynder toppen at vakle og til sidst at vælte.</w:t>
      </w:r>
    </w:p>
    <w:bookmarkEnd w:id="28"/>
    <w:bookmarkStart w:id="29" w:name="nutation"/>
    <w:p>
      <w:pPr>
        <w:pStyle w:val="Heading2"/>
      </w:pPr>
      <w:r>
        <w:rPr>
          <w:rStyle w:val="SectionNumber"/>
        </w:rPr>
        <w:t xml:space="preserve">2.6</w:t>
      </w:r>
      <w:r>
        <w:tab/>
      </w:r>
      <w:r>
        <w:t xml:space="preserve">Nutation</w:t>
      </w:r>
    </w:p>
    <w:p>
      <w:pPr>
        <w:pStyle w:val="FirstParagraph"/>
      </w:pPr>
      <w:r>
        <w:t xml:space="preserve">Ved at eliminere</w:t>
      </w:r>
      <w:r>
        <w:t xml:space="preserve"> </w:t>
      </w:r>
      <m:oMath>
        <m:acc>
          <m:accPr>
            <m:chr m:val="̇"/>
          </m:accPr>
          <m:e>
            <m:r>
              <m:t>ϕ</m:t>
            </m:r>
          </m:e>
        </m:acc>
      </m:oMath>
      <w:r>
        <w:t xml:space="preserve"> </w:t>
      </w:r>
      <w:r>
        <w:t xml:space="preserve">og</w:t>
      </w:r>
      <w:r>
        <w:t xml:space="preserve"> </w:t>
      </w:r>
      <m:oMath>
        <m:acc>
          <m:accPr>
            <m:chr m:val="̇"/>
          </m:accPr>
          <m:e>
            <m:r>
              <m:t>ψ</m:t>
            </m:r>
          </m:e>
        </m:acc>
      </m:oMath>
      <w:r>
        <w:t xml:space="preserve"> </w:t>
      </w:r>
      <w:r>
        <w:t xml:space="preserve">med de bevarede størrelser</w:t>
      </w:r>
      <w:r>
        <w:t xml:space="preserve"> </w:t>
      </w:r>
      <m:oMath>
        <m:sSub>
          <m:e>
            <m:r>
              <m:t>L</m:t>
            </m:r>
          </m:e>
          <m:sub>
            <m:r>
              <m:t>z</m:t>
            </m:r>
          </m:sub>
        </m:sSub>
      </m:oMath>
      <w:r>
        <w:t xml:space="preserve"> </w:t>
      </w:r>
      <w:r>
        <w:t xml:space="preserve">og</w:t>
      </w:r>
      <w:r>
        <w:t xml:space="preserve"> </w:t>
      </w:r>
      <m:oMath>
        <m:sSub>
          <m:e>
            <m:r>
              <m:t>L</m:t>
            </m:r>
          </m:e>
          <m:sub>
            <m:r>
              <m:t>3</m:t>
            </m:r>
          </m:sub>
        </m:sSub>
      </m:oMath>
      <w:r>
        <w:t xml:space="preserve"> </w:t>
      </w:r>
      <w:r>
        <w:t xml:space="preserve">bliver</w:t>
      </w:r>
      <w:r>
        <w:t xml:space="preserve"> </w:t>
      </w:r>
      <m:oMath>
        <m:r>
          <m:t>θ</m:t>
        </m:r>
      </m:oMath>
      <w:r>
        <w:t xml:space="preserve">-bevægelsen endimensional:</w:t>
      </w:r>
    </w:p>
    <w:p>
      <w:pPr>
        <w:pStyle w:val="BodyText"/>
      </w:pPr>
      <m:oMathPara>
        <m:oMathParaPr>
          <m:jc m:val="center"/>
        </m:oMathParaPr>
        <m:oMath>
          <m:r>
            <m:t>E</m:t>
          </m:r>
          <m:r>
            <m:rPr>
              <m:sty m:val="p"/>
            </m:rPr>
            <m:t>′</m:t>
          </m:r>
          <m:r>
            <m:rPr>
              <m:sty m:val="p"/>
            </m:rPr>
            <m:t>≡</m:t>
          </m:r>
          <m:r>
            <m:t>E</m:t>
          </m:r>
          <m:r>
            <m:rPr>
              <m:sty m:val="p"/>
            </m:rPr>
            <m:t>−</m:t>
          </m:r>
          <m:f>
            <m:fPr>
              <m:type m:val="bar"/>
            </m:fPr>
            <m:num>
              <m:sSubSup>
                <m:e>
                  <m:r>
                    <m:t>L</m:t>
                  </m:r>
                </m:e>
                <m:sub>
                  <m:r>
                    <m:t>3</m:t>
                  </m:r>
                </m:sub>
                <m:sup>
                  <m:r>
                    <m:t>2</m:t>
                  </m:r>
                </m:sup>
              </m:sSubSup>
            </m:num>
            <m:den>
              <m:r>
                <m:t>2</m:t>
              </m:r>
              <m:sSub>
                <m:e>
                  <m:r>
                    <m:t>I</m:t>
                  </m:r>
                </m:e>
                <m:sub>
                  <m:r>
                    <m:t>3</m:t>
                  </m:r>
                </m:sub>
              </m:sSub>
            </m:den>
          </m:f>
          <m:r>
            <m:rPr>
              <m:sty m:val="p"/>
            </m:rPr>
            <m:t>=</m:t>
          </m:r>
          <m:f>
            <m:fPr>
              <m:type m:val="lin"/>
            </m:fPr>
            <m:num>
              <m:r>
                <m:t>1</m:t>
              </m:r>
            </m:num>
            <m:den>
              <m:r>
                <m:t>2</m:t>
              </m:r>
            </m:den>
          </m:f>
          <m:sSub>
            <m:e>
              <m:r>
                <m:t>I</m:t>
              </m:r>
            </m:e>
            <m:sub>
              <m:r>
                <m:t>1</m:t>
              </m:r>
            </m:sub>
          </m:sSub>
          <m:sSup>
            <m:e>
              <m:acc>
                <m:accPr>
                  <m:chr m:val="̇"/>
                </m:accPr>
                <m:e>
                  <m:r>
                    <m:t>θ</m:t>
                  </m:r>
                </m:e>
              </m:acc>
            </m:e>
            <m:sup>
              <m:r>
                <m:t>2</m:t>
              </m:r>
            </m:sup>
          </m:sSup>
          <m:r>
            <m:rPr>
              <m:sty m:val="p"/>
            </m:rPr>
            <m:t>+</m:t>
          </m:r>
          <m:sSub>
            <m:e>
              <m:r>
                <m:t>V</m:t>
              </m:r>
            </m:e>
            <m:sub>
              <m:r>
                <m:rPr>
                  <m:nor/>
                  <m:sty m:val="p"/>
                </m:rPr>
                <m:t>eff</m:t>
              </m:r>
            </m:sub>
          </m:sSub>
          <m:d>
            <m:dPr>
              <m:begChr m:val="("/>
              <m:endChr m:val=")"/>
              <m:sepChr m:val=""/>
              <m:grow/>
            </m:dPr>
            <m:e>
              <m:r>
                <m:t>θ</m:t>
              </m:r>
            </m:e>
          </m:d>
          <m:r>
            <m:rPr>
              <m:sty m:val="p"/>
            </m:rPr>
            <m:t>,</m:t>
          </m:r>
          <m:r>
            <m:t>  </m:t>
          </m:r>
          <m:sSub>
            <m:e>
              <m:r>
                <m:t>V</m:t>
              </m:r>
            </m:e>
            <m:sub>
              <m:r>
                <m:rPr>
                  <m:nor/>
                  <m:sty m:val="p"/>
                </m:rPr>
                <m:t>eff</m:t>
              </m:r>
            </m:sub>
          </m:sSub>
          <m:d>
            <m:dPr>
              <m:begChr m:val="("/>
              <m:endChr m:val=")"/>
              <m:sepChr m:val=""/>
              <m:grow/>
            </m:dPr>
            <m:e>
              <m:r>
                <m:t>θ</m:t>
              </m:r>
            </m:e>
          </m:d>
          <m:r>
            <m:rPr>
              <m:sty m:val="p"/>
            </m:rPr>
            <m:t>=</m:t>
          </m:r>
          <m:f>
            <m:fPr>
              <m:type m:val="bar"/>
            </m:fPr>
            <m:num>
              <m:sSup>
                <m:e>
                  <m:d>
                    <m:dPr>
                      <m:begChr m:val="("/>
                      <m:endChr m:val=")"/>
                      <m:sepChr m:val=""/>
                      <m:grow/>
                    </m:dPr>
                    <m:e>
                      <m:sSub>
                        <m:e>
                          <m:r>
                            <m:t>L</m:t>
                          </m:r>
                        </m:e>
                        <m:sub>
                          <m:r>
                            <m:t>z</m:t>
                          </m:r>
                        </m:sub>
                      </m:sSub>
                      <m:r>
                        <m:rPr>
                          <m:sty m:val="p"/>
                        </m:rPr>
                        <m:t>−</m:t>
                      </m:r>
                      <m:sSub>
                        <m:e>
                          <m:r>
                            <m:t>L</m:t>
                          </m:r>
                        </m:e>
                        <m:sub>
                          <m:r>
                            <m:t>3</m:t>
                          </m:r>
                        </m:sub>
                      </m:sSub>
                      <m:r>
                        <m:rPr>
                          <m:sty m:val="p"/>
                        </m:rPr>
                        <m:t>cos</m:t>
                      </m:r>
                      <m:r>
                        <m:t>θ</m:t>
                      </m:r>
                    </m:e>
                  </m:d>
                </m:e>
                <m:sup>
                  <m:r>
                    <m:t>2</m:t>
                  </m:r>
                </m:sup>
              </m:sSup>
            </m:num>
            <m:den>
              <m:r>
                <m:t>2</m:t>
              </m:r>
              <m:sSub>
                <m:e>
                  <m:r>
                    <m:t>I</m:t>
                  </m:r>
                </m:e>
                <m:sub>
                  <m:r>
                    <m:t>1</m:t>
                  </m:r>
                </m:sub>
              </m:sSub>
              <m:sSup>
                <m:e>
                  <m:r>
                    <m:rPr>
                      <m:sty m:val="p"/>
                    </m:rPr>
                    <m:t>sin</m:t>
                  </m:r>
                </m:e>
                <m:sup>
                  <m:r>
                    <m:t>2</m:t>
                  </m:r>
                </m:sup>
              </m:sSup>
              <m:r>
                <m:t>θ</m:t>
              </m:r>
            </m:den>
          </m:f>
          <m:r>
            <m:rPr>
              <m:sty m:val="p"/>
            </m:rPr>
            <m:t>+</m:t>
          </m:r>
          <m:r>
            <m:t>M</m:t>
          </m:r>
          <m:r>
            <m:t>g</m:t>
          </m:r>
          <m:r>
            <m:t>l</m:t>
          </m:r>
          <m:r>
            <m:rPr>
              <m:sty m:val="p"/>
            </m:rPr>
            <m:t>cos</m:t>
          </m:r>
          <m:r>
            <m:t>θ</m:t>
          </m:r>
          <m:r>
            <m:rPr>
              <m:sty m:val="p"/>
            </m:rPr>
            <m:t>.</m:t>
          </m:r>
        </m:oMath>
      </m:oMathPara>
    </w:p>
    <w:p>
      <w:pPr>
        <w:pStyle w:val="FirstParagraph"/>
      </w:pPr>
      <m:oMath>
        <m:sSub>
          <m:e>
            <m:r>
              <m:t>V</m:t>
            </m:r>
          </m:e>
          <m:sub>
            <m:r>
              <m:rPr>
                <m:nor/>
                <m:sty m:val="p"/>
              </m:rPr>
              <m:t>eff</m:t>
            </m:r>
          </m:sub>
        </m:sSub>
      </m:oMath>
      <w:r>
        <w:t xml:space="preserve"> </w:t>
      </w:r>
      <w:r>
        <w:t xml:space="preserve">divergerer ved</w:t>
      </w:r>
      <w:r>
        <w:t xml:space="preserve"> </w:t>
      </w:r>
      <m:oMath>
        <m:r>
          <m:t>θ</m:t>
        </m:r>
        <m:r>
          <m:rPr>
            <m:sty m:val="p"/>
          </m:rPr>
          <m:t>=</m:t>
        </m:r>
        <m:r>
          <m:t>0</m:t>
        </m:r>
      </m:oMath>
      <w:r>
        <w:t xml:space="preserve"> </w:t>
      </w:r>
      <w:r>
        <w:t xml:space="preserve">og</w:t>
      </w:r>
      <w:r>
        <w:t xml:space="preserve"> </w:t>
      </w:r>
      <m:oMath>
        <m:r>
          <m:t>θ</m:t>
        </m:r>
        <m:r>
          <m:rPr>
            <m:sty m:val="p"/>
          </m:rPr>
          <m:t>=</m:t>
        </m:r>
        <m:r>
          <m:t>π</m:t>
        </m:r>
      </m:oMath>
      <w:r>
        <w:t xml:space="preserve"> </w:t>
      </w:r>
      <w:r>
        <w:t xml:space="preserve">(for</w:t>
      </w:r>
      <w:r>
        <w:t xml:space="preserve"> </w:t>
      </w:r>
      <m:oMath>
        <m:sSub>
          <m:e>
            <m:r>
              <m:t>L</m:t>
            </m:r>
          </m:e>
          <m:sub>
            <m:r>
              <m:t>z</m:t>
            </m:r>
          </m:sub>
        </m:sSub>
        <m:r>
          <m:rPr>
            <m:sty m:val="p"/>
          </m:rPr>
          <m:t>≠</m:t>
        </m:r>
        <m:r>
          <m:rPr>
            <m:sty m:val="p"/>
          </m:rPr>
          <m:t>±</m:t>
        </m:r>
        <m:sSub>
          <m:e>
            <m:r>
              <m:t>L</m:t>
            </m:r>
          </m:e>
          <m:sub>
            <m:r>
              <m:t>3</m:t>
            </m:r>
          </m:sub>
        </m:sSub>
      </m:oMath>
      <w:r>
        <w:t xml:space="preserve">), og</w:t>
      </w:r>
      <w:r>
        <w:t xml:space="preserve"> </w:t>
      </w:r>
      <m:oMath>
        <m:r>
          <m:t>θ</m:t>
        </m:r>
      </m:oMath>
      <w:r>
        <w:t xml:space="preserve"> </w:t>
      </w:r>
      <w:r>
        <w:t xml:space="preserve">svinger derfor mellem to vendepunkter,</w:t>
      </w:r>
      <w:r>
        <w:t xml:space="preserve"> </w:t>
      </w:r>
      <m:oMath>
        <m:sSub>
          <m:e>
            <m:r>
              <m:t>θ</m:t>
            </m:r>
          </m:e>
          <m:sub>
            <m:r>
              <m:t>1</m:t>
            </m:r>
          </m:sub>
        </m:sSub>
        <m:r>
          <m:rPr>
            <m:sty m:val="p"/>
          </m:rPr>
          <m:t>≤</m:t>
        </m:r>
        <m:r>
          <m:t>θ</m:t>
        </m:r>
        <m:r>
          <m:rPr>
            <m:sty m:val="p"/>
          </m:rPr>
          <m:t>≤</m:t>
        </m:r>
        <m:sSub>
          <m:e>
            <m:r>
              <m:t>θ</m:t>
            </m:r>
          </m:e>
          <m:sub>
            <m:r>
              <m:t>2</m:t>
            </m:r>
          </m:sub>
        </m:sSub>
      </m:oMath>
      <w:r>
        <w:t xml:space="preserve">. Det er nutationen. Minimum af</w:t>
      </w:r>
      <w:r>
        <w:t xml:space="preserve"> </w:t>
      </w:r>
      <m:oMath>
        <m:sSub>
          <m:e>
            <m:r>
              <m:t>V</m:t>
            </m:r>
          </m:e>
          <m:sub>
            <m:r>
              <m:rPr>
                <m:nor/>
                <m:sty m:val="p"/>
              </m:rPr>
              <m:t>eff</m:t>
            </m:r>
          </m:sub>
        </m:sSub>
      </m:oMath>
      <w:r>
        <w:t xml:space="preserve"> </w:t>
      </w:r>
      <w:r>
        <w:t xml:space="preserve">svarer til stationær præcession. For en hurtig top er nutationsfrekvensen tilnærmelsesvis</w:t>
      </w:r>
    </w:p>
    <w:p>
      <w:pPr>
        <w:pStyle w:val="BodyText"/>
      </w:pPr>
      <m:oMathPara>
        <m:oMathParaPr>
          <m:jc m:val="center"/>
        </m:oMathParaPr>
        <m:oMath>
          <m:sSub>
            <m:e>
              <m:r>
                <m:t>ω</m:t>
              </m:r>
            </m:e>
            <m:sub>
              <m:r>
                <m:rPr>
                  <m:nor/>
                  <m:sty m:val="p"/>
                </m:rPr>
                <m:t>nut</m:t>
              </m:r>
            </m:sub>
          </m:sSub>
          <m:r>
            <m:rPr>
              <m:sty m:val="p"/>
            </m:rPr>
            <m:t>≈</m:t>
          </m:r>
          <m:f>
            <m:fPr>
              <m:type m:val="bar"/>
            </m:fPr>
            <m:num>
              <m:sSub>
                <m:e>
                  <m:r>
                    <m:t>I</m:t>
                  </m:r>
                </m:e>
                <m:sub>
                  <m:r>
                    <m:t>3</m:t>
                  </m:r>
                </m:sub>
              </m:sSub>
              <m:r>
                <m:t> </m:t>
              </m:r>
              <m:sSub>
                <m:e>
                  <m:r>
                    <m:t>ω</m:t>
                  </m:r>
                </m:e>
                <m:sub>
                  <m:r>
                    <m:t>3</m:t>
                  </m:r>
                </m:sub>
              </m:sSub>
            </m:num>
            <m:den>
              <m:sSub>
                <m:e>
                  <m:r>
                    <m:t>I</m:t>
                  </m:r>
                </m:e>
                <m:sub>
                  <m:r>
                    <m:t>1</m:t>
                  </m:r>
                </m:sub>
              </m:sSub>
            </m:den>
          </m:f>
          <m:r>
            <m:rPr>
              <m:sty m:val="p"/>
            </m:rPr>
            <m:t>,</m:t>
          </m:r>
        </m:oMath>
      </m:oMathPara>
    </w:p>
    <w:p>
      <w:pPr>
        <w:pStyle w:val="FirstParagraph"/>
      </w:pPr>
      <w:r>
        <w:t xml:space="preserve">og amplituden aftager som</w:t>
      </w:r>
      <w:r>
        <w:t xml:space="preserve"> </w:t>
      </w:r>
      <m:oMath>
        <m:r>
          <m:t>1</m:t>
        </m:r>
        <m:r>
          <m:rPr>
            <m:sty m:val="p"/>
          </m:rPr>
          <m:t>/</m:t>
        </m:r>
        <m:sSubSup>
          <m:e>
            <m:r>
              <m:t>ω</m:t>
            </m:r>
          </m:e>
          <m:sub>
            <m:r>
              <m:t>3</m:t>
            </m:r>
          </m:sub>
          <m:sup>
            <m:r>
              <m:t>2</m:t>
            </m:r>
          </m:sup>
        </m:sSubSup>
      </m:oMath>
      <w:r>
        <w:t xml:space="preserve">. Nutationen er derfor både hurtig og lille, og den dæmpes hurtigt af friktion. Tilbage står den glatte, langsomme præcession.</w:t>
      </w:r>
    </w:p>
    <w:bookmarkEnd w:id="29"/>
    <w:bookmarkStart w:id="30" w:name="anvendelser"/>
    <w:p>
      <w:pPr>
        <w:pStyle w:val="Heading2"/>
      </w:pPr>
      <w:r>
        <w:rPr>
          <w:rStyle w:val="SectionNumber"/>
        </w:rPr>
        <w:t xml:space="preserve">2.7</w:t>
      </w:r>
      <w:r>
        <w:tab/>
      </w:r>
      <w:r>
        <w:t xml:space="preserve">Anvendelser</w:t>
      </w:r>
    </w:p>
    <w:p>
      <w:pPr>
        <w:pStyle w:val="FirstParagraph"/>
      </w:pPr>
      <w:r>
        <w:t xml:space="preserve">Uden ydre moment er</w:t>
      </w:r>
      <w:r>
        <w:t xml:space="preserve"> </w:t>
      </w:r>
      <m:oMath>
        <m:r>
          <m:rPr>
            <m:sty m:val="b"/>
          </m:rPr>
          <m:t>L</m:t>
        </m:r>
      </m:oMath>
      <w:r>
        <w:t xml:space="preserve"> </w:t>
      </w:r>
      <w:r>
        <w:t xml:space="preserve">konstant. Et gyroskop i et kardanophæng, hvor ophænget ikke overfører moment, holder derfor sin akse fast i rummet. Det er princippet bag gyrokompasset, kunstige horisonter i fly og inertinavigation. Rumteleskoper orienteres med reaktionshjul og kontrolmomentgyroskoper, der udnytter</w:t>
      </w:r>
      <w:r>
        <w:t xml:space="preserve"> </w:t>
      </w:r>
      <m:oMath>
        <m:acc>
          <m:accPr>
            <m:chr m:val="̇"/>
          </m:accPr>
          <m:e>
            <m:r>
              <m:rPr>
                <m:sty m:val="b"/>
              </m:rPr>
              <m:t>L</m:t>
            </m:r>
          </m:e>
        </m:acc>
        <m:r>
          <m:rPr>
            <m:sty m:val="p"/>
          </m:rPr>
          <m:t>=</m:t>
        </m:r>
        <m:r>
          <m:rPr>
            <m:sty m:val="b"/>
          </m:rPr>
          <m:t>τ</m:t>
        </m:r>
      </m:oMath>
      <w:r>
        <w:t xml:space="preserve"> </w:t>
      </w:r>
      <w:r>
        <w:t xml:space="preserve">i omvendt retning.</w:t>
      </w:r>
    </w:p>
    <w:bookmarkEnd w:id="30"/>
    <w:bookmarkEnd w:id="31"/>
    <w:bookmarkStart w:id="47" w:name="tippetoppen"/>
    <w:p>
      <w:pPr>
        <w:pStyle w:val="Heading1"/>
      </w:pPr>
      <w:r>
        <w:rPr>
          <w:rStyle w:val="SectionNumber"/>
        </w:rPr>
        <w:t xml:space="preserve">3</w:t>
      </w:r>
      <w:r>
        <w:tab/>
      </w:r>
      <w:r>
        <w:t xml:space="preserve">Tippetoppen</w:t>
      </w:r>
    </w:p>
    <w:bookmarkStart w:id="32" w:name="fænomenet"/>
    <w:p>
      <w:pPr>
        <w:pStyle w:val="Heading2"/>
      </w:pPr>
      <w:r>
        <w:rPr>
          <w:rStyle w:val="SectionNumber"/>
        </w:rPr>
        <w:t xml:space="preserve">3.1</w:t>
      </w:r>
      <w:r>
        <w:tab/>
      </w:r>
      <w:r>
        <w:t xml:space="preserve">Fænomenet</w:t>
      </w:r>
    </w:p>
    <w:p>
      <w:pPr>
        <w:pStyle w:val="FirstParagraph"/>
      </w:pPr>
      <w:r>
        <w:t xml:space="preserve">En tippetop består af et kuglesegment med et kort skaft. Massemidtpunktet ligger under kuglens geometriske centrum, når toppen står på kuglen. Sættes den i hurtig rotation, begynder den efter kort tid at hælde, hælder mere og mere, og ender med at snurre på skaftet. Under vendingen løftes massemidtpunktet. Den potentielle energi, der kræves hertil, tages fra rotationsenergien, og processen drives af friktionen mellem kugle og bord. Et berømt fotografi viser Wolfgang Pauli og Niels Bohr bøjet over en tippetop, og fænomenet blev i begyndelsen af 1950’erne genstand for en række teoretiske arbejder, blandt andet af Braams og Hugenholtz.</w:t>
      </w:r>
    </w:p>
    <w:bookmarkEnd w:id="32"/>
    <w:bookmarkStart w:id="36" w:name="geometri"/>
    <w:p>
      <w:pPr>
        <w:pStyle w:val="Heading2"/>
      </w:pPr>
      <w:r>
        <w:rPr>
          <w:rStyle w:val="SectionNumber"/>
        </w:rPr>
        <w:t xml:space="preserve">3.2</w:t>
      </w:r>
      <w:r>
        <w:tab/>
      </w:r>
      <w:r>
        <w:t xml:space="preserve">Geometri</w:t>
      </w:r>
    </w:p>
    <w:p>
      <w:pPr>
        <w:pStyle w:val="FirstParagraph"/>
      </w:pPr>
      <w:r>
        <w:t xml:space="preserve">Kuglen har radius</w:t>
      </w:r>
      <w:r>
        <w:t xml:space="preserve"> </w:t>
      </w:r>
      <m:oMath>
        <m:r>
          <m:t>R</m:t>
        </m:r>
      </m:oMath>
      <w:r>
        <w:t xml:space="preserve"> </w:t>
      </w:r>
      <w:r>
        <w:t xml:space="preserve">og centrum</w:t>
      </w:r>
      <w:r>
        <w:t xml:space="preserve"> </w:t>
      </w:r>
      <m:oMath>
        <m:r>
          <m:t>O</m:t>
        </m:r>
      </m:oMath>
      <w:r>
        <w:t xml:space="preserve">. Massemidtpunktet</w:t>
      </w:r>
      <w:r>
        <w:t xml:space="preserve"> </w:t>
      </w:r>
      <m:oMath>
        <m:r>
          <m:t>C</m:t>
        </m:r>
      </m:oMath>
      <w:r>
        <w:t xml:space="preserve"> </w:t>
      </w:r>
      <w:r>
        <w:t xml:space="preserve">ligger i afstanden</w:t>
      </w:r>
      <w:r>
        <w:t xml:space="preserve"> </w:t>
      </w:r>
      <m:oMath>
        <m:r>
          <m:t>α</m:t>
        </m:r>
        <m:r>
          <m:t>R</m:t>
        </m:r>
      </m:oMath>
      <w:r>
        <w:t xml:space="preserve"> </w:t>
      </w:r>
      <w:r>
        <w:t xml:space="preserve">fra</w:t>
      </w:r>
      <w:r>
        <w:t xml:space="preserve"> </w:t>
      </w:r>
      <m:oMath>
        <m:r>
          <m:t>O</m:t>
        </m:r>
      </m:oMath>
      <w:r>
        <w:t xml:space="preserve"> </w:t>
      </w:r>
      <w:r>
        <w:t xml:space="preserve">langs symmetriaksen, med</w:t>
      </w:r>
      <w:r>
        <w:t xml:space="preserve"> </w:t>
      </w:r>
      <m:oMath>
        <m:r>
          <m:t>0</m:t>
        </m:r>
        <m:r>
          <m:rPr>
            <m:sty m:val="p"/>
          </m:rPr>
          <m:t>&lt;</m:t>
        </m:r>
        <m:r>
          <m:t>α</m:t>
        </m:r>
        <m:r>
          <m:rPr>
            <m:sty m:val="p"/>
          </m:rPr>
          <m:t>&lt;</m:t>
        </m:r>
        <m:r>
          <m:t>1</m:t>
        </m:r>
      </m:oMath>
      <w:r>
        <w:t xml:space="preserve">. Enhedsvektoren</w:t>
      </w:r>
      <w:r>
        <w:t xml:space="preserve"> </w:t>
      </w:r>
      <m:oMath>
        <m:sSub>
          <m:e>
            <m:acc>
              <m:accPr>
                <m:chr m:val="̂"/>
              </m:accPr>
              <m:e>
                <m:r>
                  <m:rPr>
                    <m:sty m:val="b"/>
                  </m:rPr>
                  <m:t>e</m:t>
                </m:r>
              </m:e>
            </m:acc>
          </m:e>
          <m:sub>
            <m:r>
              <m:t>3</m:t>
            </m:r>
          </m:sub>
        </m:sSub>
      </m:oMath>
      <w:r>
        <w:t xml:space="preserve"> </w:t>
      </w:r>
      <w:r>
        <w:t xml:space="preserve">peger fra</w:t>
      </w:r>
      <w:r>
        <w:t xml:space="preserve"> </w:t>
      </w:r>
      <m:oMath>
        <m:r>
          <m:t>C</m:t>
        </m:r>
      </m:oMath>
      <w:r>
        <w:t xml:space="preserve"> </w:t>
      </w:r>
      <w:r>
        <w:t xml:space="preserve">gennem</w:t>
      </w:r>
      <w:r>
        <w:t xml:space="preserve"> </w:t>
      </w:r>
      <m:oMath>
        <m:r>
          <m:t>O</m:t>
        </m:r>
      </m:oMath>
      <w:r>
        <w:t xml:space="preserve"> </w:t>
      </w:r>
      <w:r>
        <w:t xml:space="preserve">mod skaftet, og</w:t>
      </w:r>
      <w:r>
        <w:t xml:space="preserve"> </w:t>
      </w:r>
      <m:oMath>
        <m:r>
          <m:t>θ</m:t>
        </m:r>
      </m:oMath>
      <w:r>
        <w:t xml:space="preserve"> </w:t>
      </w:r>
      <w:r>
        <w:t xml:space="preserve">er vinklen mellem</w:t>
      </w:r>
      <w:r>
        <w:t xml:space="preserve"> </w:t>
      </w:r>
      <m:oMath>
        <m:sSub>
          <m:e>
            <m:acc>
              <m:accPr>
                <m:chr m:val="̂"/>
              </m:accPr>
              <m:e>
                <m:r>
                  <m:rPr>
                    <m:sty m:val="b"/>
                  </m:rPr>
                  <m:t>e</m:t>
                </m:r>
              </m:e>
            </m:acc>
          </m:e>
          <m:sub>
            <m:r>
              <m:t>3</m:t>
            </m:r>
          </m:sub>
        </m:sSub>
      </m:oMath>
      <w:r>
        <w:t xml:space="preserve"> </w:t>
      </w:r>
      <w:r>
        <w:t xml:space="preserve">og lodret</w:t>
      </w:r>
      <w:r>
        <w:t xml:space="preserve"> </w:t>
      </w:r>
      <m:oMath>
        <m:acc>
          <m:accPr>
            <m:chr m:val="̂"/>
          </m:accPr>
          <m:e>
            <m:r>
              <m:rPr>
                <m:sty m:val="b"/>
              </m:rPr>
              <m:t>z</m:t>
            </m:r>
          </m:e>
        </m:acc>
      </m:oMath>
      <w:r>
        <w:t xml:space="preserve">. Dermed svarer</w:t>
      </w:r>
      <w:r>
        <w:t xml:space="preserve"> </w:t>
      </w:r>
      <m:oMath>
        <m:r>
          <m:t>θ</m:t>
        </m:r>
        <m:r>
          <m:rPr>
            <m:sty m:val="p"/>
          </m:rPr>
          <m:t>=</m:t>
        </m:r>
        <m:r>
          <m:t>0</m:t>
        </m:r>
      </m:oMath>
      <w:r>
        <w:t xml:space="preserve"> </w:t>
      </w:r>
      <w:r>
        <w:t xml:space="preserve">til toppen stående på kuglen og</w:t>
      </w:r>
      <w:r>
        <w:t xml:space="preserve"> </w:t>
      </w:r>
      <m:oMath>
        <m:r>
          <m:t>θ</m:t>
        </m:r>
        <m:r>
          <m:rPr>
            <m:sty m:val="p"/>
          </m:rPr>
          <m:t>=</m:t>
        </m:r>
        <m:r>
          <m:t>π</m:t>
        </m:r>
      </m:oMath>
      <w:r>
        <w:t xml:space="preserve"> </w:t>
      </w:r>
      <w:r>
        <w:t xml:space="preserve">til toppen stående på skaftet (figur 2).</w:t>
      </w:r>
    </w:p>
    <w:p>
      <w:pPr>
        <w:pStyle w:val="CaptionedFigure"/>
      </w:pPr>
      <w:r>
        <w:drawing>
          <wp:inline>
            <wp:extent cx="2933700" cy="2592631"/>
            <wp:effectExtent b="0" l="0" r="0" t="0"/>
            <wp:docPr descr="Figur 2. Tippetoppens geometri. Kontaktpunktet P ligger altid lodret under kuglens centrum O, mens massemidtpunktet C ligger på symmetriaksen." title="" id="34" name="Picture"/>
            <a:graphic>
              <a:graphicData uri="http://schemas.openxmlformats.org/drawingml/2006/picture">
                <pic:pic>
                  <pic:nvPicPr>
                    <pic:cNvPr descr="fig1.png" id="35" name="Picture"/>
                    <pic:cNvPicPr>
                      <a:picLocks noChangeArrowheads="1" noChangeAspect="1"/>
                    </pic:cNvPicPr>
                  </pic:nvPicPr>
                  <pic:blipFill>
                    <a:blip r:embed="rId33"/>
                    <a:stretch>
                      <a:fillRect/>
                    </a:stretch>
                  </pic:blipFill>
                  <pic:spPr bwMode="auto">
                    <a:xfrm>
                      <a:off x="0" y="0"/>
                      <a:ext cx="2933700" cy="2592631"/>
                    </a:xfrm>
                    <a:prstGeom prst="rect">
                      <a:avLst/>
                    </a:prstGeom>
                    <a:noFill/>
                    <a:ln w="9525">
                      <a:noFill/>
                      <a:headEnd/>
                      <a:tailEnd/>
                    </a:ln>
                  </pic:spPr>
                </pic:pic>
              </a:graphicData>
            </a:graphic>
          </wp:inline>
        </w:drawing>
      </w:r>
    </w:p>
    <w:p>
      <w:pPr>
        <w:pStyle w:val="ImageCaption"/>
      </w:pPr>
      <w:r>
        <w:t xml:space="preserve">Figur 2. Tippetoppens geometri. Kontaktpunktet</w:t>
      </w:r>
      <w:r>
        <w:t xml:space="preserve"> </w:t>
      </w:r>
      <m:oMath>
        <m:r>
          <m:t>P</m:t>
        </m:r>
      </m:oMath>
      <w:r>
        <w:t xml:space="preserve"> </w:t>
      </w:r>
      <w:r>
        <w:t xml:space="preserve">ligger altid lodret under kuglens centrum</w:t>
      </w:r>
      <w:r>
        <w:t xml:space="preserve"> </w:t>
      </w:r>
      <m:oMath>
        <m:r>
          <m:t>O</m:t>
        </m:r>
      </m:oMath>
      <w:r>
        <w:t xml:space="preserve">, mens massemidtpunktet</w:t>
      </w:r>
      <w:r>
        <w:t xml:space="preserve"> </w:t>
      </w:r>
      <m:oMath>
        <m:r>
          <m:t>C</m:t>
        </m:r>
      </m:oMath>
      <w:r>
        <w:t xml:space="preserve"> </w:t>
      </w:r>
      <w:r>
        <w:t xml:space="preserve">ligger på symmetriaksen.</w:t>
      </w:r>
    </w:p>
    <w:p>
      <w:pPr>
        <w:pStyle w:val="BodyText"/>
      </w:pPr>
      <w:r>
        <w:t xml:space="preserve">Kontaktpunktet</w:t>
      </w:r>
      <w:r>
        <w:t xml:space="preserve"> </w:t>
      </w:r>
      <m:oMath>
        <m:r>
          <m:t>P</m:t>
        </m:r>
      </m:oMath>
      <w:r>
        <w:t xml:space="preserve"> </w:t>
      </w:r>
      <w:r>
        <w:t xml:space="preserve">ligger altid lodret under</w:t>
      </w:r>
      <w:r>
        <w:t xml:space="preserve"> </w:t>
      </w:r>
      <m:oMath>
        <m:r>
          <m:t>O</m:t>
        </m:r>
      </m:oMath>
      <w:r>
        <w:t xml:space="preserve">, så vektoren fra</w:t>
      </w:r>
      <w:r>
        <w:t xml:space="preserve"> </w:t>
      </w:r>
      <m:oMath>
        <m:r>
          <m:t>C</m:t>
        </m:r>
      </m:oMath>
      <w:r>
        <w:t xml:space="preserve"> </w:t>
      </w:r>
      <w:r>
        <w:t xml:space="preserve">til</w:t>
      </w:r>
      <w:r>
        <w:t xml:space="preserve"> </w:t>
      </w:r>
      <m:oMath>
        <m:r>
          <m:t>P</m:t>
        </m:r>
      </m:oMath>
      <w:r>
        <w:t xml:space="preserve"> </w:t>
      </w:r>
      <w:r>
        <w:t xml:space="preserve">er</w:t>
      </w:r>
    </w:p>
    <w:p>
      <w:pPr>
        <w:pStyle w:val="BodyText"/>
      </w:pPr>
      <m:oMathPara>
        <m:oMathParaPr>
          <m:jc m:val="center"/>
        </m:oMathParaPr>
        <m:oMath>
          <m:r>
            <m:rPr>
              <m:sty m:val="b"/>
            </m:rPr>
            <m:t>a</m:t>
          </m:r>
          <m:r>
            <m:rPr>
              <m:sty m:val="p"/>
            </m:rPr>
            <m:t>=</m:t>
          </m:r>
          <m:acc>
            <m:accPr>
              <m:chr m:val="⃗"/>
            </m:accPr>
            <m:e>
              <m:r>
                <m:t>C</m:t>
              </m:r>
              <m:r>
                <m:t>P</m:t>
              </m:r>
            </m:e>
          </m:acc>
          <m:r>
            <m:rPr>
              <m:sty m:val="p"/>
            </m:rPr>
            <m:t>=</m:t>
          </m:r>
          <m:r>
            <m:t>R</m:t>
          </m:r>
          <m:d>
            <m:dPr>
              <m:begChr m:val="("/>
              <m:endChr m:val=")"/>
              <m:sepChr m:val=""/>
              <m:grow/>
            </m:dPr>
            <m:e>
              <m:r>
                <m:t>α</m:t>
              </m:r>
              <m:r>
                <m:t> </m:t>
              </m:r>
              <m:sSub>
                <m:e>
                  <m:acc>
                    <m:accPr>
                      <m:chr m:val="̂"/>
                    </m:accPr>
                    <m:e>
                      <m:r>
                        <m:rPr>
                          <m:sty m:val="b"/>
                        </m:rPr>
                        <m:t>e</m:t>
                      </m:r>
                    </m:e>
                  </m:acc>
                </m:e>
                <m:sub>
                  <m:r>
                    <m:t>3</m:t>
                  </m:r>
                </m:sub>
              </m:sSub>
              <m:r>
                <m:rPr>
                  <m:sty m:val="p"/>
                </m:rPr>
                <m:t>−</m:t>
              </m:r>
              <m:acc>
                <m:accPr>
                  <m:chr m:val="̂"/>
                </m:accPr>
                <m:e>
                  <m:r>
                    <m:rPr>
                      <m:sty m:val="b"/>
                    </m:rPr>
                    <m:t>z</m:t>
                  </m:r>
                </m:e>
              </m:acc>
            </m:e>
          </m:d>
          <m:r>
            <m:rPr>
              <m:sty m:val="p"/>
            </m:rPr>
            <m:t>,</m:t>
          </m:r>
        </m:oMath>
      </m:oMathPara>
    </w:p>
    <w:p>
      <w:pPr>
        <w:pStyle w:val="FirstParagraph"/>
      </w:pPr>
      <w:r>
        <w:t xml:space="preserve">og massemidtpunktets højde over bordet er</w:t>
      </w:r>
    </w:p>
    <w:p>
      <w:pPr>
        <w:pStyle w:val="BodyText"/>
      </w:pPr>
      <m:oMathPara>
        <m:oMathParaPr>
          <m:jc m:val="center"/>
        </m:oMathParaPr>
        <m:oMath>
          <m:sSub>
            <m:e>
              <m:r>
                <m:t>z</m:t>
              </m:r>
            </m:e>
            <m:sub>
              <m:r>
                <m:t>C</m:t>
              </m:r>
            </m:sub>
          </m:sSub>
          <m:r>
            <m:rPr>
              <m:sty m:val="p"/>
            </m:rPr>
            <m:t>=</m:t>
          </m:r>
          <m:r>
            <m:t>R</m:t>
          </m:r>
          <m:d>
            <m:dPr>
              <m:begChr m:val="("/>
              <m:endChr m:val=")"/>
              <m:sepChr m:val=""/>
              <m:grow/>
            </m:dPr>
            <m:e>
              <m:r>
                <m:t>1</m:t>
              </m:r>
              <m:r>
                <m:rPr>
                  <m:sty m:val="p"/>
                </m:rPr>
                <m:t>−</m:t>
              </m:r>
              <m:r>
                <m:t>α</m:t>
              </m:r>
              <m:r>
                <m:rPr>
                  <m:sty m:val="p"/>
                </m:rPr>
                <m:t>cos</m:t>
              </m:r>
              <m:r>
                <m:t>θ</m:t>
              </m:r>
            </m:e>
          </m:d>
          <m:r>
            <m:rPr>
              <m:sty m:val="p"/>
            </m:rPr>
            <m:t>.</m:t>
          </m:r>
        </m:oMath>
      </m:oMathPara>
    </w:p>
    <w:p>
      <w:pPr>
        <w:pStyle w:val="FirstParagraph"/>
      </w:pPr>
      <w:r>
        <w:t xml:space="preserve">Ved fuld vending fra</w:t>
      </w:r>
      <w:r>
        <w:t xml:space="preserve"> </w:t>
      </w:r>
      <m:oMath>
        <m:r>
          <m:t>θ</m:t>
        </m:r>
        <m:r>
          <m:rPr>
            <m:sty m:val="p"/>
          </m:rPr>
          <m:t>=</m:t>
        </m:r>
        <m:r>
          <m:t>0</m:t>
        </m:r>
      </m:oMath>
      <w:r>
        <w:t xml:space="preserve"> </w:t>
      </w:r>
      <w:r>
        <w:t xml:space="preserve">til</w:t>
      </w:r>
      <w:r>
        <w:t xml:space="preserve"> </w:t>
      </w:r>
      <m:oMath>
        <m:r>
          <m:t>θ</m:t>
        </m:r>
        <m:r>
          <m:rPr>
            <m:sty m:val="p"/>
          </m:rPr>
          <m:t>=</m:t>
        </m:r>
        <m:r>
          <m:t>π</m:t>
        </m:r>
      </m:oMath>
      <w:r>
        <w:t xml:space="preserve"> </w:t>
      </w:r>
      <w:r>
        <w:t xml:space="preserve">løftes massemidtpunktet altså</w:t>
      </w:r>
      <w:r>
        <w:t xml:space="preserve"> </w:t>
      </w:r>
      <m:oMath>
        <m:r>
          <m:t>Δ</m:t>
        </m:r>
        <m:sSub>
          <m:e>
            <m:r>
              <m:t>z</m:t>
            </m:r>
          </m:e>
          <m:sub>
            <m:r>
              <m:t>C</m:t>
            </m:r>
          </m:sub>
        </m:sSub>
        <m:r>
          <m:rPr>
            <m:sty m:val="p"/>
          </m:rPr>
          <m:t>=</m:t>
        </m:r>
        <m:r>
          <m:t>2</m:t>
        </m:r>
        <m:r>
          <m:t>α</m:t>
        </m:r>
        <m:r>
          <m:t>R</m:t>
        </m:r>
      </m:oMath>
      <w:r>
        <w:t xml:space="preserve">.</w:t>
      </w:r>
    </w:p>
    <w:bookmarkEnd w:id="36"/>
    <w:bookmarkStart w:id="37" w:name="bevægelsesligninger"/>
    <w:p>
      <w:pPr>
        <w:pStyle w:val="Heading2"/>
      </w:pPr>
      <w:r>
        <w:rPr>
          <w:rStyle w:val="SectionNumber"/>
        </w:rPr>
        <w:t xml:space="preserve">3.3</w:t>
      </w:r>
      <w:r>
        <w:tab/>
      </w:r>
      <w:r>
        <w:t xml:space="preserve">Bevægelsesligninger</w:t>
      </w:r>
    </w:p>
    <w:p>
      <w:pPr>
        <w:pStyle w:val="FirstParagraph"/>
      </w:pPr>
      <w:r>
        <w:t xml:space="preserve">Bordets kraft på toppen angriber i</w:t>
      </w:r>
      <w:r>
        <w:t xml:space="preserve"> </w:t>
      </w:r>
      <m:oMath>
        <m:r>
          <m:t>P</m:t>
        </m:r>
      </m:oMath>
      <w:r>
        <w:t xml:space="preserve"> </w:t>
      </w:r>
      <w:r>
        <w:t xml:space="preserve">og består af en normalkraft og en friktionskraft,</w:t>
      </w:r>
      <w:r>
        <w:t xml:space="preserve"> </w:t>
      </w:r>
      <m:oMath>
        <m:r>
          <m:rPr>
            <m:sty m:val="b"/>
          </m:rPr>
          <m:t>F</m:t>
        </m:r>
        <m:r>
          <m:rPr>
            <m:sty m:val="p"/>
          </m:rPr>
          <m:t>=</m:t>
        </m:r>
        <m:r>
          <m:t>N</m:t>
        </m:r>
        <m:acc>
          <m:accPr>
            <m:chr m:val="̂"/>
          </m:accPr>
          <m:e>
            <m:r>
              <m:rPr>
                <m:sty m:val="b"/>
              </m:rPr>
              <m:t>z</m:t>
            </m:r>
          </m:e>
        </m:acc>
        <m:r>
          <m:rPr>
            <m:sty m:val="p"/>
          </m:rPr>
          <m:t>+</m:t>
        </m:r>
        <m:sSub>
          <m:e>
            <m:r>
              <m:rPr>
                <m:sty m:val="b"/>
              </m:rPr>
              <m:t>F</m:t>
            </m:r>
          </m:e>
          <m:sub>
            <m:r>
              <m:t>f</m:t>
            </m:r>
          </m:sub>
        </m:sSub>
      </m:oMath>
      <w:r>
        <w:t xml:space="preserve">. Newtons ligninger om massemidtpunktet giver</w:t>
      </w:r>
    </w:p>
    <w:p>
      <w:pPr>
        <w:pStyle w:val="BodyText"/>
      </w:pPr>
      <m:oMathPara>
        <m:oMathParaPr>
          <m:jc m:val="center"/>
        </m:oMathParaPr>
        <m:oMath>
          <m:r>
            <m:t>M</m:t>
          </m:r>
          <m:r>
            <m:t> </m:t>
          </m:r>
          <m:sSub>
            <m:e>
              <m:acc>
                <m:accPr>
                  <m:chr m:val="̇"/>
                </m:accPr>
                <m:e>
                  <m:r>
                    <m:rPr>
                      <m:sty m:val="b"/>
                    </m:rPr>
                    <m:t>v</m:t>
                  </m:r>
                </m:e>
              </m:acc>
            </m:e>
            <m:sub>
              <m:r>
                <m:t>C</m:t>
              </m:r>
            </m:sub>
          </m:sSub>
          <m:r>
            <m:rPr>
              <m:sty m:val="p"/>
            </m:rPr>
            <m:t>=</m:t>
          </m:r>
          <m:r>
            <m:rPr>
              <m:sty m:val="b"/>
            </m:rPr>
            <m:t>F</m:t>
          </m:r>
          <m:r>
            <m:rPr>
              <m:sty m:val="p"/>
            </m:rPr>
            <m:t>−</m:t>
          </m:r>
          <m:r>
            <m:t>M</m:t>
          </m:r>
          <m:r>
            <m:t>g</m:t>
          </m:r>
          <m:r>
            <m:t> </m:t>
          </m:r>
          <m:acc>
            <m:accPr>
              <m:chr m:val="̂"/>
            </m:accPr>
            <m:e>
              <m:r>
                <m:rPr>
                  <m:sty m:val="b"/>
                </m:rPr>
                <m:t>z</m:t>
              </m:r>
            </m:e>
          </m:acc>
          <m:r>
            <m:rPr>
              <m:sty m:val="p"/>
            </m:rPr>
            <m:t>,</m:t>
          </m:r>
          <m:r>
            <m:t>  </m:t>
          </m:r>
          <m:acc>
            <m:accPr>
              <m:chr m:val="̇"/>
            </m:accPr>
            <m:e>
              <m:r>
                <m:rPr>
                  <m:sty m:val="b"/>
                </m:rPr>
                <m:t>L</m:t>
              </m:r>
            </m:e>
          </m:acc>
          <m:r>
            <m:rPr>
              <m:sty m:val="p"/>
            </m:rPr>
            <m:t>=</m:t>
          </m:r>
          <m:r>
            <m:rPr>
              <m:sty m:val="b"/>
            </m:rPr>
            <m:t>a</m:t>
          </m:r>
          <m:r>
            <m:rPr>
              <m:sty m:val="p"/>
            </m:rPr>
            <m:t>×</m:t>
          </m:r>
          <m:r>
            <m:rPr>
              <m:sty m:val="b"/>
            </m:rPr>
            <m:t>F</m:t>
          </m:r>
          <m:r>
            <m:rPr>
              <m:sty m:val="p"/>
            </m:rPr>
            <m:t>.</m:t>
          </m:r>
        </m:oMath>
      </m:oMathPara>
    </w:p>
    <w:p>
      <w:pPr>
        <w:pStyle w:val="FirstParagraph"/>
      </w:pPr>
      <w:r>
        <w:t xml:space="preserve">For et symmetrisk legeme er</w:t>
      </w:r>
    </w:p>
    <w:p>
      <w:pPr>
        <w:pStyle w:val="BodyText"/>
      </w:pPr>
      <m:oMathPara>
        <m:oMathParaPr>
          <m:jc m:val="center"/>
        </m:oMathParaPr>
        <m:oMath>
          <m:r>
            <m:rPr>
              <m:sty m:val="b"/>
            </m:rPr>
            <m:t>L</m:t>
          </m:r>
          <m:r>
            <m:rPr>
              <m:sty m:val="p"/>
            </m:rPr>
            <m:t>=</m:t>
          </m:r>
          <m:sSub>
            <m:e>
              <m:r>
                <m:t>I</m:t>
              </m:r>
            </m:e>
            <m:sub>
              <m:r>
                <m:t>1</m:t>
              </m:r>
            </m:sub>
          </m:sSub>
          <m:r>
            <m:t> </m:t>
          </m:r>
          <m:r>
            <m:rPr>
              <m:sty m:val="b"/>
            </m:rPr>
            <m:t>ω</m:t>
          </m:r>
          <m:r>
            <m:rPr>
              <m:sty m:val="p"/>
            </m:rPr>
            <m:t>+</m:t>
          </m:r>
          <m:d>
            <m:dPr>
              <m:begChr m:val="("/>
              <m:endChr m:val=")"/>
              <m:sepChr m:val=""/>
              <m:grow/>
            </m:dPr>
            <m:e>
              <m:sSub>
                <m:e>
                  <m:r>
                    <m:t>I</m:t>
                  </m:r>
                </m:e>
                <m:sub>
                  <m:r>
                    <m:t>3</m:t>
                  </m:r>
                </m:sub>
              </m:sSub>
              <m:r>
                <m:rPr>
                  <m:sty m:val="p"/>
                </m:rPr>
                <m:t>−</m:t>
              </m:r>
              <m:sSub>
                <m:e>
                  <m:r>
                    <m:t>I</m:t>
                  </m:r>
                </m:e>
                <m:sub>
                  <m:r>
                    <m:t>1</m:t>
                  </m:r>
                </m:sub>
              </m:sSub>
            </m:e>
          </m:d>
          <m:sSub>
            <m:e>
              <m:r>
                <m:t>ω</m:t>
              </m:r>
            </m:e>
            <m:sub>
              <m:r>
                <m:t>3</m:t>
              </m:r>
            </m:sub>
          </m:sSub>
          <m:r>
            <m:t> </m:t>
          </m:r>
          <m:sSub>
            <m:e>
              <m:acc>
                <m:accPr>
                  <m:chr m:val="̂"/>
                </m:accPr>
                <m:e>
                  <m:r>
                    <m:rPr>
                      <m:sty m:val="b"/>
                    </m:rPr>
                    <m:t>e</m:t>
                  </m:r>
                </m:e>
              </m:acc>
            </m:e>
            <m:sub>
              <m:r>
                <m:t>3</m:t>
              </m:r>
            </m:sub>
          </m:sSub>
          <m:r>
            <m:rPr>
              <m:sty m:val="p"/>
            </m:rPr>
            <m:t>,</m:t>
          </m:r>
          <m:r>
            <m:t>  </m:t>
          </m:r>
          <m:sSub>
            <m:e>
              <m:r>
                <m:t>ω</m:t>
              </m:r>
            </m:e>
            <m:sub>
              <m:r>
                <m:t>3</m:t>
              </m:r>
            </m:sub>
          </m:sSub>
          <m:r>
            <m:rPr>
              <m:sty m:val="p"/>
            </m:rPr>
            <m:t>=</m:t>
          </m:r>
          <m:r>
            <m:rPr>
              <m:sty m:val="b"/>
            </m:rPr>
            <m:t>ω</m:t>
          </m:r>
          <m:r>
            <m:rPr>
              <m:sty m:val="p"/>
            </m:rPr>
            <m:t>⋅</m:t>
          </m:r>
          <m:sSub>
            <m:e>
              <m:acc>
                <m:accPr>
                  <m:chr m:val="̂"/>
                </m:accPr>
                <m:e>
                  <m:r>
                    <m:rPr>
                      <m:sty m:val="b"/>
                    </m:rPr>
                    <m:t>e</m:t>
                  </m:r>
                </m:e>
              </m:acc>
            </m:e>
            <m:sub>
              <m:r>
                <m:t>3</m:t>
              </m:r>
            </m:sub>
          </m:sSub>
          <m:r>
            <m:rPr>
              <m:sty m:val="p"/>
            </m:rPr>
            <m:t>,</m:t>
          </m:r>
        </m:oMath>
      </m:oMathPara>
    </w:p>
    <w:p>
      <w:pPr>
        <w:pStyle w:val="FirstParagraph"/>
      </w:pPr>
      <w:r>
        <w:t xml:space="preserve">hvor</w:t>
      </w:r>
      <w:r>
        <w:t xml:space="preserve"> </w:t>
      </w:r>
      <m:oMath>
        <m:sSub>
          <m:e>
            <m:r>
              <m:t>I</m:t>
            </m:r>
          </m:e>
          <m:sub>
            <m:r>
              <m:t>1</m:t>
            </m:r>
          </m:sub>
        </m:sSub>
      </m:oMath>
      <w:r>
        <w:t xml:space="preserve"> </w:t>
      </w:r>
      <w:r>
        <w:t xml:space="preserve">og</w:t>
      </w:r>
      <w:r>
        <w:t xml:space="preserve"> </w:t>
      </w:r>
      <m:oMath>
        <m:sSub>
          <m:e>
            <m:r>
              <m:t>I</m:t>
            </m:r>
          </m:e>
          <m:sub>
            <m:r>
              <m:t>3</m:t>
            </m:r>
          </m:sub>
        </m:sSub>
      </m:oMath>
      <w:r>
        <w:t xml:space="preserve"> </w:t>
      </w:r>
      <w:r>
        <w:t xml:space="preserve">nu er inertimomenter om massemidtpunktet. Det materielle punkt, der i øjeblikket berører bordet, har hastigheden</w:t>
      </w:r>
    </w:p>
    <w:p>
      <w:pPr>
        <w:pStyle w:val="BodyText"/>
      </w:pPr>
      <m:oMathPara>
        <m:oMathParaPr>
          <m:jc m:val="center"/>
        </m:oMathParaPr>
        <m:oMath>
          <m:sSub>
            <m:e>
              <m:r>
                <m:rPr>
                  <m:sty m:val="b"/>
                </m:rPr>
                <m:t>v</m:t>
              </m:r>
            </m:e>
            <m:sub>
              <m:r>
                <m:t>P</m:t>
              </m:r>
            </m:sub>
          </m:sSub>
          <m:r>
            <m:rPr>
              <m:sty m:val="p"/>
            </m:rPr>
            <m:t>=</m:t>
          </m:r>
          <m:sSub>
            <m:e>
              <m:r>
                <m:rPr>
                  <m:sty m:val="b"/>
                </m:rPr>
                <m:t>v</m:t>
              </m:r>
            </m:e>
            <m:sub>
              <m:r>
                <m:t>C</m:t>
              </m:r>
            </m:sub>
          </m:sSub>
          <m:r>
            <m:rPr>
              <m:sty m:val="p"/>
            </m:rPr>
            <m:t>+</m:t>
          </m:r>
          <m:r>
            <m:rPr>
              <m:sty m:val="b"/>
            </m:rPr>
            <m:t>ω</m:t>
          </m:r>
          <m:r>
            <m:rPr>
              <m:sty m:val="p"/>
            </m:rPr>
            <m:t>×</m:t>
          </m:r>
          <m:r>
            <m:rPr>
              <m:sty m:val="b"/>
            </m:rPr>
            <m:t>a</m:t>
          </m:r>
          <m:r>
            <m:rPr>
              <m:sty m:val="p"/>
            </m:rPr>
            <m:t>.</m:t>
          </m:r>
        </m:oMath>
      </m:oMathPara>
    </w:p>
    <w:p>
      <w:pPr>
        <w:pStyle w:val="FirstParagraph"/>
      </w:pPr>
      <w:r>
        <w:t xml:space="preserve">Da toppen hele tiden hviler på bordet, er</w:t>
      </w:r>
      <w:r>
        <w:t xml:space="preserve"> </w:t>
      </w:r>
      <m:oMath>
        <m:sSub>
          <m:e>
            <m:r>
              <m:rPr>
                <m:sty m:val="b"/>
              </m:rPr>
              <m:t>v</m:t>
            </m:r>
          </m:e>
          <m:sub>
            <m:r>
              <m:t>P</m:t>
            </m:r>
          </m:sub>
        </m:sSub>
      </m:oMath>
      <w:r>
        <w:t xml:space="preserve"> </w:t>
      </w:r>
      <w:r>
        <w:t xml:space="preserve">vandret. Den er glidningshastigheden. Ved Coulomb-friktion er</w:t>
      </w:r>
    </w:p>
    <w:p>
      <w:pPr>
        <w:pStyle w:val="BodyText"/>
      </w:pPr>
      <m:oMathPara>
        <m:oMathParaPr>
          <m:jc m:val="center"/>
        </m:oMathParaPr>
        <m:oMath>
          <m:sSub>
            <m:e>
              <m:r>
                <m:rPr>
                  <m:sty m:val="b"/>
                </m:rPr>
                <m:t>F</m:t>
              </m:r>
            </m:e>
            <m:sub>
              <m:r>
                <m:t>f</m:t>
              </m:r>
            </m:sub>
          </m:sSub>
          <m:r>
            <m:rPr>
              <m:sty m:val="p"/>
            </m:rPr>
            <m:t>=</m:t>
          </m:r>
          <m:r>
            <m:rPr>
              <m:sty m:val="p"/>
            </m:rPr>
            <m:t>−</m:t>
          </m:r>
          <m:r>
            <m:t>μ</m:t>
          </m:r>
          <m:r>
            <m:t>N</m:t>
          </m:r>
          <m:r>
            <m:t> </m:t>
          </m:r>
          <m:f>
            <m:fPr>
              <m:type m:val="bar"/>
            </m:fPr>
            <m:num>
              <m:sSub>
                <m:e>
                  <m:r>
                    <m:rPr>
                      <m:sty m:val="b"/>
                    </m:rPr>
                    <m:t>v</m:t>
                  </m:r>
                </m:e>
                <m:sub>
                  <m:r>
                    <m:t>P</m:t>
                  </m:r>
                </m:sub>
              </m:sSub>
            </m:num>
            <m:den>
              <m:d>
                <m:dPr>
                  <m:begChr m:val="|"/>
                  <m:endChr m:val="|"/>
                  <m:sepChr m:val=""/>
                  <m:grow/>
                </m:dPr>
                <m:e>
                  <m:sSub>
                    <m:e>
                      <m:r>
                        <m:rPr>
                          <m:sty m:val="b"/>
                        </m:rPr>
                        <m:t>v</m:t>
                      </m:r>
                    </m:e>
                    <m:sub>
                      <m:r>
                        <m:t>P</m:t>
                      </m:r>
                    </m:sub>
                  </m:sSub>
                </m:e>
              </m:d>
            </m:den>
          </m:f>
          <m:r>
            <m:rPr>
              <m:sty m:val="p"/>
            </m:rPr>
            <m:t>.</m:t>
          </m:r>
        </m:oMath>
      </m:oMathPara>
    </w:p>
    <w:bookmarkEnd w:id="37"/>
    <w:bookmarkStart w:id="38" w:name="energidissipation"/>
    <w:p>
      <w:pPr>
        <w:pStyle w:val="Heading2"/>
      </w:pPr>
      <w:r>
        <w:rPr>
          <w:rStyle w:val="SectionNumber"/>
        </w:rPr>
        <w:t xml:space="preserve">3.4</w:t>
      </w:r>
      <w:r>
        <w:tab/>
      </w:r>
      <w:r>
        <w:t xml:space="preserve">Energidissipation</w:t>
      </w:r>
    </w:p>
    <w:p>
      <w:pPr>
        <w:pStyle w:val="FirstParagraph"/>
      </w:pPr>
      <w:r>
        <w:t xml:space="preserve">Den samlede mekaniske energi er</w:t>
      </w:r>
    </w:p>
    <w:p>
      <w:pPr>
        <w:pStyle w:val="BodyText"/>
      </w:pPr>
      <m:oMathPara>
        <m:oMathParaPr>
          <m:jc m:val="center"/>
        </m:oMathParaPr>
        <m:oMath>
          <m:r>
            <m:t>E</m:t>
          </m:r>
          <m:r>
            <m:rPr>
              <m:sty m:val="p"/>
            </m:rPr>
            <m:t>=</m:t>
          </m:r>
          <m:f>
            <m:fPr>
              <m:type m:val="lin"/>
            </m:fPr>
            <m:num>
              <m:r>
                <m:t>1</m:t>
              </m:r>
            </m:num>
            <m:den>
              <m:r>
                <m:t>2</m:t>
              </m:r>
            </m:den>
          </m:f>
          <m:r>
            <m:t>M</m:t>
          </m:r>
          <m:sSubSup>
            <m:e>
              <m:r>
                <m:t>v</m:t>
              </m:r>
            </m:e>
            <m:sub>
              <m:r>
                <m:t>C</m:t>
              </m:r>
            </m:sub>
            <m:sup>
              <m:r>
                <m:t>2</m:t>
              </m:r>
            </m:sup>
          </m:sSubSup>
          <m:r>
            <m:rPr>
              <m:sty m:val="p"/>
            </m:rPr>
            <m:t>+</m:t>
          </m:r>
          <m:f>
            <m:fPr>
              <m:type m:val="lin"/>
            </m:fPr>
            <m:num>
              <m:r>
                <m:t>1</m:t>
              </m:r>
            </m:num>
            <m:den>
              <m:r>
                <m:t>2</m:t>
              </m:r>
            </m:den>
          </m:f>
          <m:r>
            <m:t> </m:t>
          </m:r>
          <m:r>
            <m:rPr>
              <m:sty m:val="b"/>
            </m:rPr>
            <m:t>ω</m:t>
          </m:r>
          <m:r>
            <m:rPr>
              <m:sty m:val="p"/>
            </m:rPr>
            <m:t>⋅</m:t>
          </m:r>
          <m:r>
            <m:rPr>
              <m:sty m:val="b"/>
            </m:rPr>
            <m:t>L</m:t>
          </m:r>
          <m:r>
            <m:rPr>
              <m:sty m:val="p"/>
            </m:rPr>
            <m:t>+</m:t>
          </m:r>
          <m:r>
            <m:t>M</m:t>
          </m:r>
          <m:r>
            <m:t>g</m:t>
          </m:r>
          <m:r>
            <m:t>R</m:t>
          </m:r>
          <m:d>
            <m:dPr>
              <m:begChr m:val="("/>
              <m:endChr m:val=")"/>
              <m:sepChr m:val=""/>
              <m:grow/>
            </m:dPr>
            <m:e>
              <m:r>
                <m:t>1</m:t>
              </m:r>
              <m:r>
                <m:rPr>
                  <m:sty m:val="p"/>
                </m:rPr>
                <m:t>−</m:t>
              </m:r>
              <m:r>
                <m:t>α</m:t>
              </m:r>
              <m:r>
                <m:rPr>
                  <m:sty m:val="p"/>
                </m:rPr>
                <m:t>cos</m:t>
              </m:r>
              <m:r>
                <m:t>θ</m:t>
              </m:r>
            </m:e>
          </m:d>
          <m:r>
            <m:rPr>
              <m:sty m:val="p"/>
            </m:rPr>
            <m:t>.</m:t>
          </m:r>
        </m:oMath>
      </m:oMathPara>
    </w:p>
    <w:p>
      <w:pPr>
        <w:pStyle w:val="FirstParagraph"/>
      </w:pPr>
      <w:r>
        <w:t xml:space="preserve">Effekten af kontaktkraften er</w:t>
      </w:r>
      <w:r>
        <w:t xml:space="preserve"> </w:t>
      </w:r>
      <m:oMath>
        <m:r>
          <m:rPr>
            <m:sty m:val="b"/>
          </m:rPr>
          <m:t>F</m:t>
        </m:r>
        <m:r>
          <m:rPr>
            <m:sty m:val="p"/>
          </m:rPr>
          <m:t>⋅</m:t>
        </m:r>
        <m:sSub>
          <m:e>
            <m:r>
              <m:rPr>
                <m:sty m:val="b"/>
              </m:rPr>
              <m:t>v</m:t>
            </m:r>
          </m:e>
          <m:sub>
            <m:r>
              <m:t>P</m:t>
            </m:r>
          </m:sub>
        </m:sSub>
      </m:oMath>
      <w:r>
        <w:t xml:space="preserve">. Normalkraften er lodret og</w:t>
      </w:r>
      <w:r>
        <w:t xml:space="preserve"> </w:t>
      </w:r>
      <m:oMath>
        <m:sSub>
          <m:e>
            <m:r>
              <m:rPr>
                <m:sty m:val="b"/>
              </m:rPr>
              <m:t>v</m:t>
            </m:r>
          </m:e>
          <m:sub>
            <m:r>
              <m:t>P</m:t>
            </m:r>
          </m:sub>
        </m:sSub>
      </m:oMath>
      <w:r>
        <w:t xml:space="preserve"> </w:t>
      </w:r>
      <w:r>
        <w:t xml:space="preserve">vandret, så normalkraften udfører intet arbejde, og</w:t>
      </w:r>
    </w:p>
    <w:p>
      <w:pPr>
        <w:pStyle w:val="BodyText"/>
      </w:pPr>
      <m:oMathPara>
        <m:oMathParaPr>
          <m:jc m:val="center"/>
        </m:oMathParaPr>
        <m:oMath>
          <m:acc>
            <m:accPr>
              <m:chr m:val="̇"/>
            </m:accPr>
            <m:e>
              <m:r>
                <m:t>E</m:t>
              </m:r>
            </m:e>
          </m:acc>
          <m:r>
            <m:rPr>
              <m:sty m:val="p"/>
            </m:rPr>
            <m:t>=</m:t>
          </m:r>
          <m:sSub>
            <m:e>
              <m:r>
                <m:rPr>
                  <m:sty m:val="b"/>
                </m:rPr>
                <m:t>F</m:t>
              </m:r>
            </m:e>
            <m:sub>
              <m:r>
                <m:t>f</m:t>
              </m:r>
            </m:sub>
          </m:sSub>
          <m:r>
            <m:rPr>
              <m:sty m:val="p"/>
            </m:rPr>
            <m:t>⋅</m:t>
          </m:r>
          <m:sSub>
            <m:e>
              <m:r>
                <m:rPr>
                  <m:sty m:val="b"/>
                </m:rPr>
                <m:t>v</m:t>
              </m:r>
            </m:e>
            <m:sub>
              <m:r>
                <m:t>P</m:t>
              </m:r>
            </m:sub>
          </m:sSub>
          <m:r>
            <m:rPr>
              <m:sty m:val="p"/>
            </m:rPr>
            <m:t>=</m:t>
          </m:r>
          <m:r>
            <m:rPr>
              <m:sty m:val="p"/>
            </m:rPr>
            <m:t>−</m:t>
          </m:r>
          <m:r>
            <m:t>μ</m:t>
          </m:r>
          <m:r>
            <m:t>N</m:t>
          </m:r>
          <m:r>
            <m:t> </m:t>
          </m:r>
          <m:d>
            <m:dPr>
              <m:begChr m:val="|"/>
              <m:endChr m:val="|"/>
              <m:sepChr m:val=""/>
              <m:grow/>
            </m:dPr>
            <m:e>
              <m:sSub>
                <m:e>
                  <m:r>
                    <m:rPr>
                      <m:sty m:val="b"/>
                    </m:rPr>
                    <m:t>v</m:t>
                  </m:r>
                </m:e>
                <m:sub>
                  <m:r>
                    <m:t>P</m:t>
                  </m:r>
                </m:sub>
              </m:sSub>
            </m:e>
          </m:d>
          <m:r>
            <m:rPr>
              <m:sty m:val="p"/>
            </m:rPr>
            <m:t>≤</m:t>
          </m:r>
          <m:r>
            <m:t>0</m:t>
          </m:r>
          <m:r>
            <m:rPr>
              <m:sty m:val="p"/>
            </m:rPr>
            <m:t>.</m:t>
          </m:r>
        </m:oMath>
      </m:oMathPara>
    </w:p>
    <w:p>
      <w:pPr>
        <w:pStyle w:val="FirstParagraph"/>
      </w:pPr>
      <w:r>
        <w:t xml:space="preserve">Energien aftager, så længe toppen glider, og er konstant, når den ruller rent.</w:t>
      </w:r>
    </w:p>
    <w:bookmarkEnd w:id="38"/>
    <w:bookmarkStart w:id="39" w:name="jelletts-konstant"/>
    <w:p>
      <w:pPr>
        <w:pStyle w:val="Heading2"/>
      </w:pPr>
      <w:r>
        <w:rPr>
          <w:rStyle w:val="SectionNumber"/>
        </w:rPr>
        <w:t xml:space="preserve">3.5</w:t>
      </w:r>
      <w:r>
        <w:tab/>
      </w:r>
      <w:r>
        <w:t xml:space="preserve">Jelletts konstant</w:t>
      </w:r>
    </w:p>
    <w:p>
      <w:pPr>
        <w:pStyle w:val="FirstParagraph"/>
      </w:pPr>
      <w:r>
        <w:t xml:space="preserve">Definér</w:t>
      </w:r>
    </w:p>
    <w:p>
      <w:pPr>
        <w:pStyle w:val="BodyText"/>
      </w:pPr>
      <m:oMathPara>
        <m:oMathParaPr>
          <m:jc m:val="center"/>
        </m:oMathParaPr>
        <m:oMath>
          <m:r>
            <m:t>J</m:t>
          </m:r>
          <m:r>
            <m:rPr>
              <m:sty m:val="p"/>
            </m:rPr>
            <m:t>=</m:t>
          </m:r>
          <m:r>
            <m:rPr>
              <m:sty m:val="b"/>
            </m:rPr>
            <m:t>L</m:t>
          </m:r>
          <m:r>
            <m:rPr>
              <m:sty m:val="p"/>
            </m:rPr>
            <m:t>⋅</m:t>
          </m:r>
          <m:r>
            <m:rPr>
              <m:sty m:val="b"/>
            </m:rPr>
            <m:t>a</m:t>
          </m:r>
          <m:r>
            <m:rPr>
              <m:sty m:val="p"/>
            </m:rPr>
            <m:t>.</m:t>
          </m:r>
        </m:oMath>
      </m:oMathPara>
    </w:p>
    <w:p>
      <w:pPr>
        <w:pStyle w:val="FirstParagraph"/>
      </w:pPr>
      <w:r>
        <w:t xml:space="preserve">Differentiation giver</w:t>
      </w:r>
    </w:p>
    <w:p>
      <w:pPr>
        <w:pStyle w:val="BodyText"/>
      </w:pPr>
      <m:oMathPara>
        <m:oMathParaPr>
          <m:jc m:val="center"/>
        </m:oMathParaPr>
        <m:oMath>
          <m:acc>
            <m:accPr>
              <m:chr m:val="̇"/>
            </m:accPr>
            <m:e>
              <m:r>
                <m:t>J</m:t>
              </m:r>
            </m:e>
          </m:acc>
          <m:r>
            <m:rPr>
              <m:sty m:val="p"/>
            </m:rPr>
            <m:t>=</m:t>
          </m:r>
          <m:acc>
            <m:accPr>
              <m:chr m:val="̇"/>
            </m:accPr>
            <m:e>
              <m:r>
                <m:rPr>
                  <m:sty m:val="b"/>
                </m:rPr>
                <m:t>L</m:t>
              </m:r>
            </m:e>
          </m:acc>
          <m:r>
            <m:rPr>
              <m:sty m:val="p"/>
            </m:rPr>
            <m:t>⋅</m:t>
          </m:r>
          <m:r>
            <m:rPr>
              <m:sty m:val="b"/>
            </m:rPr>
            <m:t>a</m:t>
          </m:r>
          <m:r>
            <m:rPr>
              <m:sty m:val="p"/>
            </m:rPr>
            <m:t>+</m:t>
          </m:r>
          <m:r>
            <m:rPr>
              <m:sty m:val="b"/>
            </m:rPr>
            <m:t>L</m:t>
          </m:r>
          <m:r>
            <m:rPr>
              <m:sty m:val="p"/>
            </m:rPr>
            <m:t>⋅</m:t>
          </m:r>
          <m:acc>
            <m:accPr>
              <m:chr m:val="̇"/>
            </m:accPr>
            <m:e>
              <m:r>
                <m:rPr>
                  <m:sty m:val="b"/>
                </m:rPr>
                <m:t>a</m:t>
              </m:r>
            </m:e>
          </m:acc>
          <m:r>
            <m:rPr>
              <m:sty m:val="p"/>
            </m:rPr>
            <m:t>=</m:t>
          </m:r>
          <m:d>
            <m:dPr>
              <m:begChr m:val="("/>
              <m:endChr m:val=")"/>
              <m:sepChr m:val=""/>
              <m:grow/>
            </m:dPr>
            <m:e>
              <m:r>
                <m:rPr>
                  <m:sty m:val="b"/>
                </m:rPr>
                <m:t>a</m:t>
              </m:r>
              <m:r>
                <m:rPr>
                  <m:sty m:val="p"/>
                </m:rPr>
                <m:t>×</m:t>
              </m:r>
              <m:r>
                <m:rPr>
                  <m:sty m:val="b"/>
                </m:rPr>
                <m:t>F</m:t>
              </m:r>
            </m:e>
          </m:d>
          <m:r>
            <m:rPr>
              <m:sty m:val="p"/>
            </m:rPr>
            <m:t>⋅</m:t>
          </m:r>
          <m:r>
            <m:rPr>
              <m:sty m:val="b"/>
            </m:rPr>
            <m:t>a</m:t>
          </m:r>
          <m:r>
            <m:rPr>
              <m:sty m:val="p"/>
            </m:rPr>
            <m:t>+</m:t>
          </m:r>
          <m:r>
            <m:rPr>
              <m:sty m:val="b"/>
            </m:rPr>
            <m:t>L</m:t>
          </m:r>
          <m:r>
            <m:rPr>
              <m:sty m:val="p"/>
            </m:rPr>
            <m:t>⋅</m:t>
          </m:r>
          <m:acc>
            <m:accPr>
              <m:chr m:val="̇"/>
            </m:accPr>
            <m:e>
              <m:r>
                <m:rPr>
                  <m:sty m:val="b"/>
                </m:rPr>
                <m:t>a</m:t>
              </m:r>
            </m:e>
          </m:acc>
          <m:r>
            <m:rPr>
              <m:sty m:val="p"/>
            </m:rPr>
            <m:t>.</m:t>
          </m:r>
        </m:oMath>
      </m:oMathPara>
    </w:p>
    <w:p>
      <w:pPr>
        <w:pStyle w:val="FirstParagraph"/>
      </w:pPr>
      <w:r>
        <w:t xml:space="preserve">Det første led er et tredobbelt produkt med to ens vektorer og er derfor nul. Da</w:t>
      </w:r>
      <w:r>
        <w:t xml:space="preserve"> </w:t>
      </w:r>
      <m:oMath>
        <m:acc>
          <m:accPr>
            <m:chr m:val="̂"/>
          </m:accPr>
          <m:e>
            <m:r>
              <m:rPr>
                <m:sty m:val="b"/>
              </m:rPr>
              <m:t>z</m:t>
            </m:r>
          </m:e>
        </m:acc>
      </m:oMath>
      <w:r>
        <w:t xml:space="preserve"> </w:t>
      </w:r>
      <w:r>
        <w:t xml:space="preserve">er konstant, er</w:t>
      </w:r>
      <w:r>
        <w:t xml:space="preserve"> </w:t>
      </w:r>
      <m:oMath>
        <m:acc>
          <m:accPr>
            <m:chr m:val="̇"/>
          </m:accPr>
          <m:e>
            <m:r>
              <m:rPr>
                <m:sty m:val="b"/>
              </m:rPr>
              <m:t>a</m:t>
            </m:r>
          </m:e>
        </m:acc>
        <m:r>
          <m:rPr>
            <m:sty m:val="p"/>
          </m:rPr>
          <m:t>=</m:t>
        </m:r>
        <m:r>
          <m:t>α</m:t>
        </m:r>
        <m:r>
          <m:t>R</m:t>
        </m:r>
        <m:r>
          <m:t> </m:t>
        </m:r>
        <m:sSub>
          <m:e>
            <m:acc>
              <m:accPr>
                <m:chr m:val="̇"/>
              </m:accPr>
              <m:e>
                <m:acc>
                  <m:accPr>
                    <m:chr m:val="̂"/>
                  </m:accPr>
                  <m:e>
                    <m:r>
                      <m:rPr>
                        <m:sty m:val="b"/>
                      </m:rPr>
                      <m:t>e</m:t>
                    </m:r>
                  </m:e>
                </m:acc>
              </m:e>
            </m:acc>
          </m:e>
          <m:sub>
            <m:r>
              <m:t>3</m:t>
            </m:r>
          </m:sub>
        </m:sSub>
        <m:r>
          <m:rPr>
            <m:sty m:val="p"/>
          </m:rPr>
          <m:t>=</m:t>
        </m:r>
        <m:r>
          <m:t>α</m:t>
        </m:r>
        <m:r>
          <m:t>R</m:t>
        </m:r>
        <m:r>
          <m:t> </m:t>
        </m:r>
        <m:r>
          <m:rPr>
            <m:sty m:val="b"/>
          </m:rPr>
          <m:t>ω</m:t>
        </m:r>
        <m:r>
          <m:rPr>
            <m:sty m:val="p"/>
          </m:rPr>
          <m:t>×</m:t>
        </m:r>
        <m:sSub>
          <m:e>
            <m:acc>
              <m:accPr>
                <m:chr m:val="̂"/>
              </m:accPr>
              <m:e>
                <m:r>
                  <m:rPr>
                    <m:sty m:val="b"/>
                  </m:rPr>
                  <m:t>e</m:t>
                </m:r>
              </m:e>
            </m:acc>
          </m:e>
          <m:sub>
            <m:r>
              <m:t>3</m:t>
            </m:r>
          </m:sub>
        </m:sSub>
      </m:oMath>
      <w:r>
        <w:t xml:space="preserve">, så</w:t>
      </w:r>
    </w:p>
    <w:p>
      <w:pPr>
        <w:pStyle w:val="BodyText"/>
      </w:pPr>
      <m:oMathPara>
        <m:oMathParaPr>
          <m:jc m:val="center"/>
        </m:oMathParaPr>
        <m:oMath>
          <m:acc>
            <m:accPr>
              <m:chr m:val="̇"/>
            </m:accPr>
            <m:e>
              <m:r>
                <m:t>J</m:t>
              </m:r>
            </m:e>
          </m:acc>
          <m:r>
            <m:rPr>
              <m:sty m:val="p"/>
            </m:rPr>
            <m:t>=</m:t>
          </m:r>
          <m:r>
            <m:t>α</m:t>
          </m:r>
          <m:r>
            <m:t>R</m:t>
          </m:r>
          <m:r>
            <m:t> </m:t>
          </m:r>
          <m:r>
            <m:rPr>
              <m:sty m:val="b"/>
            </m:rPr>
            <m:t>L</m:t>
          </m:r>
          <m:r>
            <m:rPr>
              <m:sty m:val="p"/>
            </m:rPr>
            <m:t>⋅</m:t>
          </m:r>
          <m:d>
            <m:dPr>
              <m:begChr m:val="("/>
              <m:endChr m:val=")"/>
              <m:sepChr m:val=""/>
              <m:grow/>
            </m:dPr>
            <m:e>
              <m:r>
                <m:rPr>
                  <m:sty m:val="b"/>
                </m:rPr>
                <m:t>ω</m:t>
              </m:r>
              <m:r>
                <m:rPr>
                  <m:sty m:val="p"/>
                </m:rPr>
                <m:t>×</m:t>
              </m:r>
              <m:sSub>
                <m:e>
                  <m:acc>
                    <m:accPr>
                      <m:chr m:val="̂"/>
                    </m:accPr>
                    <m:e>
                      <m:r>
                        <m:rPr>
                          <m:sty m:val="b"/>
                        </m:rPr>
                        <m:t>e</m:t>
                      </m:r>
                    </m:e>
                  </m:acc>
                </m:e>
                <m:sub>
                  <m:r>
                    <m:t>3</m:t>
                  </m:r>
                </m:sub>
              </m:sSub>
            </m:e>
          </m:d>
          <m:r>
            <m:rPr>
              <m:sty m:val="p"/>
            </m:rPr>
            <m:t>=</m:t>
          </m:r>
          <m:r>
            <m:t>α</m:t>
          </m:r>
          <m:r>
            <m:t>R</m:t>
          </m:r>
          <m:d>
            <m:dPr>
              <m:begChr m:val="["/>
              <m:endChr m:val="]"/>
              <m:sepChr m:val=""/>
              <m:grow/>
            </m:dPr>
            <m:e>
              <m:sSub>
                <m:e>
                  <m:r>
                    <m:t>I</m:t>
                  </m:r>
                </m:e>
                <m:sub>
                  <m:r>
                    <m:t>1</m:t>
                  </m:r>
                </m:sub>
              </m:sSub>
              <m:r>
                <m:t> </m:t>
              </m:r>
              <m:r>
                <m:rPr>
                  <m:sty m:val="b"/>
                </m:rPr>
                <m:t>ω</m:t>
              </m:r>
              <m:r>
                <m:rPr>
                  <m:sty m:val="p"/>
                </m:rPr>
                <m:t>⋅</m:t>
              </m:r>
              <m:d>
                <m:dPr>
                  <m:begChr m:val="("/>
                  <m:endChr m:val=")"/>
                  <m:sepChr m:val=""/>
                  <m:grow/>
                </m:dPr>
                <m:e>
                  <m:r>
                    <m:rPr>
                      <m:sty m:val="b"/>
                    </m:rPr>
                    <m:t>ω</m:t>
                  </m:r>
                  <m:r>
                    <m:rPr>
                      <m:sty m:val="p"/>
                    </m:rPr>
                    <m:t>×</m:t>
                  </m:r>
                  <m:sSub>
                    <m:e>
                      <m:acc>
                        <m:accPr>
                          <m:chr m:val="̂"/>
                        </m:accPr>
                        <m:e>
                          <m:r>
                            <m:rPr>
                              <m:sty m:val="b"/>
                            </m:rPr>
                            <m:t>e</m:t>
                          </m:r>
                        </m:e>
                      </m:acc>
                    </m:e>
                    <m:sub>
                      <m:r>
                        <m:t>3</m:t>
                      </m:r>
                    </m:sub>
                  </m:sSub>
                </m:e>
              </m:d>
              <m:r>
                <m:rPr>
                  <m:sty m:val="p"/>
                </m:rPr>
                <m:t>+</m:t>
              </m:r>
              <m:d>
                <m:dPr>
                  <m:begChr m:val="("/>
                  <m:endChr m:val=")"/>
                  <m:sepChr m:val=""/>
                  <m:grow/>
                </m:dPr>
                <m:e>
                  <m:sSub>
                    <m:e>
                      <m:r>
                        <m:t>I</m:t>
                      </m:r>
                    </m:e>
                    <m:sub>
                      <m:r>
                        <m:t>3</m:t>
                      </m:r>
                    </m:sub>
                  </m:sSub>
                  <m:r>
                    <m:rPr>
                      <m:sty m:val="p"/>
                    </m:rPr>
                    <m:t>−</m:t>
                  </m:r>
                  <m:sSub>
                    <m:e>
                      <m:r>
                        <m:t>I</m:t>
                      </m:r>
                    </m:e>
                    <m:sub>
                      <m:r>
                        <m:t>1</m:t>
                      </m:r>
                    </m:sub>
                  </m:sSub>
                </m:e>
              </m:d>
              <m:sSub>
                <m:e>
                  <m:r>
                    <m:t>ω</m:t>
                  </m:r>
                </m:e>
                <m:sub>
                  <m:r>
                    <m:t>3</m:t>
                  </m:r>
                </m:sub>
              </m:sSub>
              <m:r>
                <m:t> </m:t>
              </m:r>
              <m:sSub>
                <m:e>
                  <m:acc>
                    <m:accPr>
                      <m:chr m:val="̂"/>
                    </m:accPr>
                    <m:e>
                      <m:r>
                        <m:rPr>
                          <m:sty m:val="b"/>
                        </m:rPr>
                        <m:t>e</m:t>
                      </m:r>
                    </m:e>
                  </m:acc>
                </m:e>
                <m:sub>
                  <m:r>
                    <m:t>3</m:t>
                  </m:r>
                </m:sub>
              </m:sSub>
              <m:r>
                <m:rPr>
                  <m:sty m:val="p"/>
                </m:rPr>
                <m:t>⋅</m:t>
              </m:r>
              <m:d>
                <m:dPr>
                  <m:begChr m:val="("/>
                  <m:endChr m:val=")"/>
                  <m:sepChr m:val=""/>
                  <m:grow/>
                </m:dPr>
                <m:e>
                  <m:r>
                    <m:rPr>
                      <m:sty m:val="b"/>
                    </m:rPr>
                    <m:t>ω</m:t>
                  </m:r>
                  <m:r>
                    <m:rPr>
                      <m:sty m:val="p"/>
                    </m:rPr>
                    <m:t>×</m:t>
                  </m:r>
                  <m:sSub>
                    <m:e>
                      <m:acc>
                        <m:accPr>
                          <m:chr m:val="̂"/>
                        </m:accPr>
                        <m:e>
                          <m:r>
                            <m:rPr>
                              <m:sty m:val="b"/>
                            </m:rPr>
                            <m:t>e</m:t>
                          </m:r>
                        </m:e>
                      </m:acc>
                    </m:e>
                    <m:sub>
                      <m:r>
                        <m:t>3</m:t>
                      </m:r>
                    </m:sub>
                  </m:sSub>
                </m:e>
              </m:d>
            </m:e>
          </m:d>
          <m:r>
            <m:rPr>
              <m:sty m:val="p"/>
            </m:rPr>
            <m:t>=</m:t>
          </m:r>
          <m:r>
            <m:t>0</m:t>
          </m:r>
          <m:r>
            <m:rPr>
              <m:sty m:val="p"/>
            </m:rPr>
            <m:t>.</m:t>
          </m:r>
        </m:oMath>
      </m:oMathPara>
    </w:p>
    <w:p>
      <w:pPr>
        <w:pStyle w:val="FirstParagraph"/>
      </w:pPr>
      <w:r>
        <w:t xml:space="preserve">Begge tredobbelte produkter indeholder to ens vektorer. Dermed er</w:t>
      </w:r>
    </w:p>
    <w:p>
      <w:pPr>
        <w:pStyle w:val="BodyText"/>
      </w:pPr>
      <m:oMathPara>
        <m:oMathParaPr>
          <m:jc m:val="center"/>
        </m:oMathParaPr>
        <m:oMath>
          <m:r>
            <m:t>J</m:t>
          </m:r>
          <m:r>
            <m:rPr>
              <m:sty m:val="p"/>
            </m:rPr>
            <m:t>=</m:t>
          </m:r>
          <m:r>
            <m:t>R</m:t>
          </m:r>
          <m:d>
            <m:dPr>
              <m:begChr m:val="("/>
              <m:endChr m:val=")"/>
              <m:sepChr m:val=""/>
              <m:grow/>
            </m:dPr>
            <m:e>
              <m:r>
                <m:t>α</m:t>
              </m:r>
              <m:r>
                <m:t> </m:t>
              </m:r>
              <m:sSub>
                <m:e>
                  <m:r>
                    <m:t>L</m:t>
                  </m:r>
                </m:e>
                <m:sub>
                  <m:r>
                    <m:t>3</m:t>
                  </m:r>
                </m:sub>
              </m:sSub>
              <m:r>
                <m:rPr>
                  <m:sty m:val="p"/>
                </m:rPr>
                <m:t>−</m:t>
              </m:r>
              <m:sSub>
                <m:e>
                  <m:r>
                    <m:t>L</m:t>
                  </m:r>
                </m:e>
                <m:sub>
                  <m:r>
                    <m:t>z</m:t>
                  </m:r>
                </m:sub>
              </m:sSub>
            </m:e>
          </m:d>
          <m:r>
            <m:rPr>
              <m:sty m:val="p"/>
            </m:rPr>
            <m:t>=</m:t>
          </m:r>
          <m:r>
            <m:rPr>
              <m:nor/>
              <m:sty m:val="p"/>
            </m:rPr>
            <m:t>konstant</m:t>
          </m:r>
          <m:r>
            <m:rPr>
              <m:sty m:val="p"/>
            </m:rPr>
            <m:t>,</m:t>
          </m:r>
        </m:oMath>
      </m:oMathPara>
    </w:p>
    <w:p>
      <w:pPr>
        <w:pStyle w:val="FirstParagraph"/>
      </w:pPr>
      <w:r>
        <w:t xml:space="preserve">hvor</w:t>
      </w:r>
      <w:r>
        <w:t xml:space="preserve"> </w:t>
      </w:r>
      <m:oMath>
        <m:sSub>
          <m:e>
            <m:r>
              <m:t>L</m:t>
            </m:r>
          </m:e>
          <m:sub>
            <m:r>
              <m:t>3</m:t>
            </m:r>
          </m:sub>
        </m:sSub>
        <m:r>
          <m:rPr>
            <m:sty m:val="p"/>
          </m:rPr>
          <m:t>=</m:t>
        </m:r>
        <m:r>
          <m:rPr>
            <m:sty m:val="b"/>
          </m:rPr>
          <m:t>L</m:t>
        </m:r>
        <m:r>
          <m:rPr>
            <m:sty m:val="p"/>
          </m:rPr>
          <m:t>⋅</m:t>
        </m:r>
        <m:sSub>
          <m:e>
            <m:acc>
              <m:accPr>
                <m:chr m:val="̂"/>
              </m:accPr>
              <m:e>
                <m:r>
                  <m:rPr>
                    <m:sty m:val="b"/>
                  </m:rPr>
                  <m:t>e</m:t>
                </m:r>
              </m:e>
            </m:acc>
          </m:e>
          <m:sub>
            <m:r>
              <m:t>3</m:t>
            </m:r>
          </m:sub>
        </m:sSub>
      </m:oMath>
      <w:r>
        <w:t xml:space="preserve"> </w:t>
      </w:r>
      <w:r>
        <w:t xml:space="preserve">og</w:t>
      </w:r>
      <w:r>
        <w:t xml:space="preserve"> </w:t>
      </w:r>
      <m:oMath>
        <m:sSub>
          <m:e>
            <m:r>
              <m:t>L</m:t>
            </m:r>
          </m:e>
          <m:sub>
            <m:r>
              <m:t>z</m:t>
            </m:r>
          </m:sub>
        </m:sSub>
        <m:r>
          <m:rPr>
            <m:sty m:val="p"/>
          </m:rPr>
          <m:t>=</m:t>
        </m:r>
        <m:r>
          <m:rPr>
            <m:sty m:val="b"/>
          </m:rPr>
          <m:t>L</m:t>
        </m:r>
        <m:r>
          <m:rPr>
            <m:sty m:val="p"/>
          </m:rPr>
          <m:t>⋅</m:t>
        </m:r>
        <m:acc>
          <m:accPr>
            <m:chr m:val="̂"/>
          </m:accPr>
          <m:e>
            <m:r>
              <m:rPr>
                <m:sty m:val="b"/>
              </m:rPr>
              <m:t>z</m:t>
            </m:r>
          </m:e>
        </m:acc>
      </m:oMath>
      <w:r>
        <w:t xml:space="preserve">. Konstansen gælder eksakt og uanset friktionsloven, fordi kontaktkraften altid angriber på linjen gennem</w:t>
      </w:r>
      <w:r>
        <w:t xml:space="preserve"> </w:t>
      </w:r>
      <m:oMath>
        <m:r>
          <m:t>C</m:t>
        </m:r>
      </m:oMath>
      <w:r>
        <w:t xml:space="preserve"> </w:t>
      </w:r>
      <w:r>
        <w:t xml:space="preserve">og</w:t>
      </w:r>
      <w:r>
        <w:t xml:space="preserve"> </w:t>
      </w:r>
      <m:oMath>
        <m:r>
          <m:t>P</m:t>
        </m:r>
      </m:oMath>
      <w:r>
        <w:t xml:space="preserve">, og dens moment derfor er vinkelret på</w:t>
      </w:r>
      <w:r>
        <w:t xml:space="preserve"> </w:t>
      </w:r>
      <m:oMath>
        <m:r>
          <m:rPr>
            <m:sty m:val="b"/>
          </m:rPr>
          <m:t>a</m:t>
        </m:r>
      </m:oMath>
      <w:r>
        <w:t xml:space="preserve">. Den blev fundet af J. H. Jellett i 1872. Friktionen fjerner altså energi, men ikke</w:t>
      </w:r>
      <w:r>
        <w:t xml:space="preserve"> </w:t>
      </w:r>
      <m:oMath>
        <m:r>
          <m:t>J</m:t>
        </m:r>
      </m:oMath>
      <w:r>
        <w:t xml:space="preserve">, og det er den afgørende ingrediens i hele analysen.</w:t>
      </w:r>
    </w:p>
    <w:bookmarkEnd w:id="39"/>
    <w:bookmarkStart w:id="40" w:name="slutspinnet"/>
    <w:p>
      <w:pPr>
        <w:pStyle w:val="Heading2"/>
      </w:pPr>
      <w:r>
        <w:rPr>
          <w:rStyle w:val="SectionNumber"/>
        </w:rPr>
        <w:t xml:space="preserve">3.6</w:t>
      </w:r>
      <w:r>
        <w:tab/>
      </w:r>
      <w:r>
        <w:t xml:space="preserve">Slutspinnet</w:t>
      </w:r>
    </w:p>
    <w:p>
      <w:pPr>
        <w:pStyle w:val="FirstParagraph"/>
      </w:pPr>
      <w:r>
        <w:t xml:space="preserve">Lad toppen starte med rotationen</w:t>
      </w:r>
      <w:r>
        <w:t xml:space="preserve"> </w:t>
      </w:r>
      <m:oMath>
        <m:sSub>
          <m:e>
            <m:r>
              <m:t>ω</m:t>
            </m:r>
          </m:e>
          <m:sub>
            <m:r>
              <m:t>0</m:t>
            </m:r>
          </m:sub>
        </m:sSub>
      </m:oMath>
      <w:r>
        <w:t xml:space="preserve"> </w:t>
      </w:r>
      <w:r>
        <w:t xml:space="preserve">om lodret ved</w:t>
      </w:r>
      <w:r>
        <w:t xml:space="preserve"> </w:t>
      </w:r>
      <m:oMath>
        <m:r>
          <m:t>θ</m:t>
        </m:r>
        <m:r>
          <m:rPr>
            <m:sty m:val="p"/>
          </m:rPr>
          <m:t>=</m:t>
        </m:r>
        <m:r>
          <m:t>0</m:t>
        </m:r>
      </m:oMath>
      <w:r>
        <w:t xml:space="preserve"> </w:t>
      </w:r>
      <w:r>
        <w:t xml:space="preserve">og ende med rotationen</w:t>
      </w:r>
      <w:r>
        <w:t xml:space="preserve"> </w:t>
      </w:r>
      <m:oMath>
        <m:sSub>
          <m:e>
            <m:r>
              <m:t>ω</m:t>
            </m:r>
          </m:e>
          <m:sub>
            <m:r>
              <m:t>1</m:t>
            </m:r>
          </m:sub>
        </m:sSub>
      </m:oMath>
      <w:r>
        <w:t xml:space="preserve"> </w:t>
      </w:r>
      <w:r>
        <w:t xml:space="preserve">om lodret ved</w:t>
      </w:r>
      <w:r>
        <w:t xml:space="preserve"> </w:t>
      </w:r>
      <m:oMath>
        <m:r>
          <m:t>θ</m:t>
        </m:r>
        <m:r>
          <m:rPr>
            <m:sty m:val="p"/>
          </m:rPr>
          <m:t>=</m:t>
        </m:r>
        <m:r>
          <m:t>π</m:t>
        </m:r>
      </m:oMath>
      <w:r>
        <w:t xml:space="preserve">. Omløbsretningen regnes i laboratoriet, og toppen ruller rent i begge tilstande.</w:t>
      </w:r>
    </w:p>
    <w:p>
      <w:pPr>
        <w:pStyle w:val="BodyText"/>
      </w:pPr>
      <w:r>
        <w:t xml:space="preserve">I starttilstanden er</w:t>
      </w:r>
      <w:r>
        <w:t xml:space="preserve"> </w:t>
      </w:r>
      <m:oMath>
        <m:sSub>
          <m:e>
            <m:acc>
              <m:accPr>
                <m:chr m:val="̂"/>
              </m:accPr>
              <m:e>
                <m:r>
                  <m:rPr>
                    <m:sty m:val="b"/>
                  </m:rPr>
                  <m:t>e</m:t>
                </m:r>
              </m:e>
            </m:acc>
          </m:e>
          <m:sub>
            <m:r>
              <m:t>3</m:t>
            </m:r>
          </m:sub>
        </m:sSub>
        <m:r>
          <m:rPr>
            <m:sty m:val="p"/>
          </m:rPr>
          <m:t>=</m:t>
        </m:r>
        <m:acc>
          <m:accPr>
            <m:chr m:val="̂"/>
          </m:accPr>
          <m:e>
            <m:r>
              <m:rPr>
                <m:sty m:val="b"/>
              </m:rPr>
              <m:t>z</m:t>
            </m:r>
          </m:e>
        </m:acc>
      </m:oMath>
      <w:r>
        <w:t xml:space="preserve"> </w:t>
      </w:r>
      <w:r>
        <w:t xml:space="preserve">og</w:t>
      </w:r>
      <w:r>
        <w:t xml:space="preserve"> </w:t>
      </w:r>
      <m:oMath>
        <m:sSub>
          <m:e>
            <m:r>
              <m:t>L</m:t>
            </m:r>
          </m:e>
          <m:sub>
            <m:r>
              <m:t>3</m:t>
            </m:r>
          </m:sub>
        </m:sSub>
        <m:r>
          <m:rPr>
            <m:sty m:val="p"/>
          </m:rPr>
          <m:t>=</m:t>
        </m:r>
        <m:sSub>
          <m:e>
            <m:r>
              <m:t>L</m:t>
            </m:r>
          </m:e>
          <m:sub>
            <m:r>
              <m:t>z</m:t>
            </m:r>
          </m:sub>
        </m:sSub>
        <m:r>
          <m:rPr>
            <m:sty m:val="p"/>
          </m:rPr>
          <m:t>=</m:t>
        </m:r>
        <m:sSub>
          <m:e>
            <m:r>
              <m:t>I</m:t>
            </m:r>
          </m:e>
          <m:sub>
            <m:r>
              <m:t>3</m:t>
            </m:r>
          </m:sub>
        </m:sSub>
        <m:sSub>
          <m:e>
            <m:r>
              <m:t>ω</m:t>
            </m:r>
          </m:e>
          <m:sub>
            <m:r>
              <m:t>0</m:t>
            </m:r>
          </m:sub>
        </m:sSub>
      </m:oMath>
      <w:r>
        <w:t xml:space="preserve">:</w:t>
      </w:r>
    </w:p>
    <w:p>
      <w:pPr>
        <w:pStyle w:val="BodyText"/>
      </w:pPr>
      <m:oMathPara>
        <m:oMathParaPr>
          <m:jc m:val="center"/>
        </m:oMathParaPr>
        <m:oMath>
          <m:r>
            <m:t>J</m:t>
          </m:r>
          <m:r>
            <m:rPr>
              <m:sty m:val="p"/>
            </m:rPr>
            <m:t>/</m:t>
          </m:r>
          <m:r>
            <m:t>R</m:t>
          </m:r>
          <m:r>
            <m:rPr>
              <m:sty m:val="p"/>
            </m:rPr>
            <m:t>=</m:t>
          </m:r>
          <m:sSub>
            <m:e>
              <m:r>
                <m:t>I</m:t>
              </m:r>
            </m:e>
            <m:sub>
              <m:r>
                <m:t>3</m:t>
              </m:r>
            </m:sub>
          </m:sSub>
          <m:r>
            <m:t> </m:t>
          </m:r>
          <m:sSub>
            <m:e>
              <m:r>
                <m:t>ω</m:t>
              </m:r>
            </m:e>
            <m:sub>
              <m:r>
                <m:t>0</m:t>
              </m:r>
            </m:sub>
          </m:sSub>
          <m:d>
            <m:dPr>
              <m:begChr m:val="("/>
              <m:endChr m:val=")"/>
              <m:sepChr m:val=""/>
              <m:grow/>
            </m:dPr>
            <m:e>
              <m:r>
                <m:t>α</m:t>
              </m:r>
              <m:r>
                <m:rPr>
                  <m:sty m:val="p"/>
                </m:rPr>
                <m:t>−</m:t>
              </m:r>
              <m:r>
                <m:t>1</m:t>
              </m:r>
            </m:e>
          </m:d>
          <m:r>
            <m:rPr>
              <m:sty m:val="p"/>
            </m:rPr>
            <m:t>.</m:t>
          </m:r>
        </m:oMath>
      </m:oMathPara>
    </w:p>
    <w:p>
      <w:pPr>
        <w:pStyle w:val="FirstParagraph"/>
      </w:pPr>
      <w:r>
        <w:t xml:space="preserve">I sluttilstanden er</w:t>
      </w:r>
      <w:r>
        <w:t xml:space="preserve"> </w:t>
      </w:r>
      <m:oMath>
        <m:sSub>
          <m:e>
            <m:acc>
              <m:accPr>
                <m:chr m:val="̂"/>
              </m:accPr>
              <m:e>
                <m:r>
                  <m:rPr>
                    <m:sty m:val="b"/>
                  </m:rPr>
                  <m:t>e</m:t>
                </m:r>
              </m:e>
            </m:acc>
          </m:e>
          <m:sub>
            <m:r>
              <m:t>3</m:t>
            </m:r>
          </m:sub>
        </m:sSub>
        <m:r>
          <m:rPr>
            <m:sty m:val="p"/>
          </m:rPr>
          <m:t>=</m:t>
        </m:r>
        <m:r>
          <m:rPr>
            <m:sty m:val="p"/>
          </m:rPr>
          <m:t>−</m:t>
        </m:r>
        <m:acc>
          <m:accPr>
            <m:chr m:val="̂"/>
          </m:accPr>
          <m:e>
            <m:r>
              <m:rPr>
                <m:sty m:val="b"/>
              </m:rPr>
              <m:t>z</m:t>
            </m:r>
          </m:e>
        </m:acc>
      </m:oMath>
      <w:r>
        <w:t xml:space="preserve">,</w:t>
      </w:r>
      <w:r>
        <w:t xml:space="preserve"> </w:t>
      </w:r>
      <m:oMath>
        <m:sSub>
          <m:e>
            <m:r>
              <m:t>L</m:t>
            </m:r>
          </m:e>
          <m:sub>
            <m:r>
              <m:t>z</m:t>
            </m:r>
          </m:sub>
        </m:sSub>
        <m:r>
          <m:rPr>
            <m:sty m:val="p"/>
          </m:rPr>
          <m:t>=</m:t>
        </m:r>
        <m:sSub>
          <m:e>
            <m:r>
              <m:t>I</m:t>
            </m:r>
          </m:e>
          <m:sub>
            <m:r>
              <m:t>3</m:t>
            </m:r>
          </m:sub>
        </m:sSub>
        <m:sSub>
          <m:e>
            <m:r>
              <m:t>ω</m:t>
            </m:r>
          </m:e>
          <m:sub>
            <m:r>
              <m:t>1</m:t>
            </m:r>
          </m:sub>
        </m:sSub>
      </m:oMath>
      <w:r>
        <w:t xml:space="preserve"> </w:t>
      </w:r>
      <w:r>
        <w:t xml:space="preserve">og</w:t>
      </w:r>
      <w:r>
        <w:t xml:space="preserve"> </w:t>
      </w:r>
      <m:oMath>
        <m:sSub>
          <m:e>
            <m:r>
              <m:t>L</m:t>
            </m:r>
          </m:e>
          <m:sub>
            <m:r>
              <m:t>3</m:t>
            </m:r>
          </m:sub>
        </m:sSub>
        <m:r>
          <m:rPr>
            <m:sty m:val="p"/>
          </m:rPr>
          <m:t>=</m:t>
        </m:r>
        <m:r>
          <m:rPr>
            <m:sty m:val="p"/>
          </m:rPr>
          <m:t>−</m:t>
        </m:r>
        <m:sSub>
          <m:e>
            <m:r>
              <m:t>I</m:t>
            </m:r>
          </m:e>
          <m:sub>
            <m:r>
              <m:t>3</m:t>
            </m:r>
          </m:sub>
        </m:sSub>
        <m:sSub>
          <m:e>
            <m:r>
              <m:t>ω</m:t>
            </m:r>
          </m:e>
          <m:sub>
            <m:r>
              <m:t>1</m:t>
            </m:r>
          </m:sub>
        </m:sSub>
      </m:oMath>
      <w:r>
        <w:t xml:space="preserve">:</w:t>
      </w:r>
    </w:p>
    <w:p>
      <w:pPr>
        <w:pStyle w:val="BodyText"/>
      </w:pPr>
      <m:oMathPara>
        <m:oMathParaPr>
          <m:jc m:val="center"/>
        </m:oMathParaPr>
        <m:oMath>
          <m:r>
            <m:t>J</m:t>
          </m:r>
          <m:r>
            <m:rPr>
              <m:sty m:val="p"/>
            </m:rPr>
            <m:t>/</m:t>
          </m:r>
          <m:r>
            <m:t>R</m:t>
          </m:r>
          <m:r>
            <m:rPr>
              <m:sty m:val="p"/>
            </m:rPr>
            <m:t>=</m:t>
          </m:r>
          <m:r>
            <m:rPr>
              <m:sty m:val="p"/>
            </m:rPr>
            <m:t>−</m:t>
          </m:r>
          <m:sSub>
            <m:e>
              <m:r>
                <m:t>I</m:t>
              </m:r>
            </m:e>
            <m:sub>
              <m:r>
                <m:t>3</m:t>
              </m:r>
            </m:sub>
          </m:sSub>
          <m:r>
            <m:t> </m:t>
          </m:r>
          <m:sSub>
            <m:e>
              <m:r>
                <m:t>ω</m:t>
              </m:r>
            </m:e>
            <m:sub>
              <m:r>
                <m:t>1</m:t>
              </m:r>
            </m:sub>
          </m:sSub>
          <m:d>
            <m:dPr>
              <m:begChr m:val="("/>
              <m:endChr m:val=")"/>
              <m:sepChr m:val=""/>
              <m:grow/>
            </m:dPr>
            <m:e>
              <m:r>
                <m:t>1</m:t>
              </m:r>
              <m:r>
                <m:rPr>
                  <m:sty m:val="p"/>
                </m:rPr>
                <m:t>+</m:t>
              </m:r>
              <m:r>
                <m:t>α</m:t>
              </m:r>
            </m:e>
          </m:d>
          <m:r>
            <m:rPr>
              <m:sty m:val="p"/>
            </m:rPr>
            <m:t>.</m:t>
          </m:r>
        </m:oMath>
      </m:oMathPara>
    </w:p>
    <w:p>
      <w:pPr>
        <w:pStyle w:val="FirstParagraph"/>
      </w:pPr>
      <w:r>
        <w:t xml:space="preserve">Da</w:t>
      </w:r>
      <w:r>
        <w:t xml:space="preserve"> </w:t>
      </w:r>
      <m:oMath>
        <m:r>
          <m:t>J</m:t>
        </m:r>
      </m:oMath>
      <w:r>
        <w:t xml:space="preserve"> </w:t>
      </w:r>
      <w:r>
        <w:t xml:space="preserve">er bevaret, følger</w:t>
      </w:r>
    </w:p>
    <w:p>
      <w:pPr>
        <w:pStyle w:val="BodyText"/>
      </w:pPr>
      <m:oMathPara>
        <m:oMathParaPr>
          <m:jc m:val="center"/>
        </m:oMathParaPr>
        <m:oMath>
          <m:sSub>
            <m:e>
              <m:r>
                <m:t>ω</m:t>
              </m:r>
            </m:e>
            <m:sub>
              <m:r>
                <m:t>1</m:t>
              </m:r>
            </m:sub>
          </m:sSub>
          <m:r>
            <m:rPr>
              <m:sty m:val="p"/>
            </m:rPr>
            <m:t>=</m:t>
          </m:r>
          <m:f>
            <m:fPr>
              <m:type m:val="bar"/>
            </m:fPr>
            <m:num>
              <m:r>
                <m:t>1</m:t>
              </m:r>
              <m:r>
                <m:rPr>
                  <m:sty m:val="p"/>
                </m:rPr>
                <m:t>−</m:t>
              </m:r>
              <m:r>
                <m:t>α</m:t>
              </m:r>
            </m:num>
            <m:den>
              <m:r>
                <m:t>1</m:t>
              </m:r>
              <m:r>
                <m:rPr>
                  <m:sty m:val="p"/>
                </m:rPr>
                <m:t>+</m:t>
              </m:r>
              <m:r>
                <m:t>α</m:t>
              </m:r>
            </m:den>
          </m:f>
          <m:r>
            <m:t> </m:t>
          </m:r>
          <m:sSub>
            <m:e>
              <m:r>
                <m:t>ω</m:t>
              </m:r>
            </m:e>
            <m:sub>
              <m:r>
                <m:t>0</m:t>
              </m:r>
            </m:sub>
          </m:sSub>
          <m:r>
            <m:rPr>
              <m:sty m:val="p"/>
            </m:rPr>
            <m:t>.</m:t>
          </m:r>
        </m:oMath>
      </m:oMathPara>
    </w:p>
    <w:p>
      <w:pPr>
        <w:pStyle w:val="FirstParagraph"/>
      </w:pPr>
      <w:r>
        <w:t xml:space="preserve">Rotationen fortsætter i samme retning set fra bordet, men da</w:t>
      </w:r>
      <w:r>
        <w:t xml:space="preserve"> </w:t>
      </w:r>
      <m:oMath>
        <m:sSub>
          <m:e>
            <m:r>
              <m:t>L</m:t>
            </m:r>
          </m:e>
          <m:sub>
            <m:r>
              <m:t>3</m:t>
            </m:r>
          </m:sub>
        </m:sSub>
      </m:oMath>
      <w:r>
        <w:t xml:space="preserve"> </w:t>
      </w:r>
      <w:r>
        <w:t xml:space="preserve">har skiftet fortegn, roterer toppen den modsatte vej i forhold til sit eget legeme. Et sted undervejs, omkring</w:t>
      </w:r>
      <w:r>
        <w:t xml:space="preserve"> </w:t>
      </w:r>
      <m:oMath>
        <m:r>
          <m:t>θ</m:t>
        </m:r>
        <m:r>
          <m:rPr>
            <m:sty m:val="p"/>
          </m:rPr>
          <m:t>≈</m:t>
        </m:r>
        <m:r>
          <m:t>π</m:t>
        </m:r>
        <m:r>
          <m:rPr>
            <m:sty m:val="p"/>
          </m:rPr>
          <m:t>/</m:t>
        </m:r>
        <m:r>
          <m:t>2</m:t>
        </m:r>
      </m:oMath>
      <w:r>
        <w:t xml:space="preserve">, passerer</w:t>
      </w:r>
      <w:r>
        <w:t xml:space="preserve"> </w:t>
      </w:r>
      <m:oMath>
        <m:sSub>
          <m:e>
            <m:r>
              <m:t>ω</m:t>
            </m:r>
          </m:e>
          <m:sub>
            <m:r>
              <m:t>3</m:t>
            </m:r>
          </m:sub>
        </m:sSub>
      </m:oMath>
      <w:r>
        <w:t xml:space="preserve"> </w:t>
      </w:r>
      <w:r>
        <w:t xml:space="preserve">gennem nul.</w:t>
      </w:r>
    </w:p>
    <w:bookmarkEnd w:id="40"/>
    <w:bookmarkStart w:id="41" w:name="energitærsklen"/>
    <w:p>
      <w:pPr>
        <w:pStyle w:val="Heading2"/>
      </w:pPr>
      <w:r>
        <w:rPr>
          <w:rStyle w:val="SectionNumber"/>
        </w:rPr>
        <w:t xml:space="preserve">3.7</w:t>
      </w:r>
      <w:r>
        <w:tab/>
      </w:r>
      <w:r>
        <w:t xml:space="preserve">Energitærsklen</w:t>
      </w:r>
    </w:p>
    <w:p>
      <w:pPr>
        <w:pStyle w:val="FirstParagraph"/>
      </w:pPr>
      <w:r>
        <w:t xml:space="preserve">Friktionen kan kun fjerne energi, så sluttilstanden kan kun nås, hvis</w:t>
      </w:r>
      <w:r>
        <w:t xml:space="preserve"> </w:t>
      </w:r>
      <m:oMath>
        <m:sSub>
          <m:e>
            <m:r>
              <m:t>E</m:t>
            </m:r>
          </m:e>
          <m:sub>
            <m:r>
              <m:t>1</m:t>
            </m:r>
          </m:sub>
        </m:sSub>
        <m:r>
          <m:rPr>
            <m:sty m:val="p"/>
          </m:rPr>
          <m:t>≤</m:t>
        </m:r>
        <m:sSub>
          <m:e>
            <m:r>
              <m:t>E</m:t>
            </m:r>
          </m:e>
          <m:sub>
            <m:r>
              <m:t>0</m:t>
            </m:r>
          </m:sub>
        </m:sSub>
      </m:oMath>
      <w:r>
        <w:t xml:space="preserve">:</w:t>
      </w:r>
    </w:p>
    <w:p>
      <w:pPr>
        <w:pStyle w:val="BodyText"/>
      </w:pPr>
      <m:oMathPara>
        <m:oMathParaPr>
          <m:jc m:val="center"/>
        </m:oMathParaPr>
        <m:oMath>
          <m:f>
            <m:fPr>
              <m:type m:val="lin"/>
            </m:fPr>
            <m:num>
              <m:r>
                <m:t>1</m:t>
              </m:r>
            </m:num>
            <m:den>
              <m:r>
                <m:t>2</m:t>
              </m:r>
            </m:den>
          </m:f>
          <m:sSub>
            <m:e>
              <m:r>
                <m:t>I</m:t>
              </m:r>
            </m:e>
            <m:sub>
              <m:r>
                <m:t>3</m:t>
              </m:r>
            </m:sub>
          </m:sSub>
          <m:r>
            <m:t> </m:t>
          </m:r>
          <m:sSubSup>
            <m:e>
              <m:r>
                <m:t>ω</m:t>
              </m:r>
            </m:e>
            <m:sub>
              <m:r>
                <m:t>0</m:t>
              </m:r>
            </m:sub>
            <m:sup>
              <m:r>
                <m:t>2</m:t>
              </m:r>
            </m:sup>
          </m:sSubSup>
          <m:r>
            <m:rPr>
              <m:sty m:val="p"/>
            </m:rPr>
            <m:t>+</m:t>
          </m:r>
          <m:r>
            <m:t>M</m:t>
          </m:r>
          <m:r>
            <m:t>g</m:t>
          </m:r>
          <m:r>
            <m:t>R</m:t>
          </m:r>
          <m:d>
            <m:dPr>
              <m:begChr m:val="("/>
              <m:endChr m:val=")"/>
              <m:sepChr m:val=""/>
              <m:grow/>
            </m:dPr>
            <m:e>
              <m:r>
                <m:t>1</m:t>
              </m:r>
              <m:r>
                <m:rPr>
                  <m:sty m:val="p"/>
                </m:rPr>
                <m:t>−</m:t>
              </m:r>
              <m:r>
                <m:t>α</m:t>
              </m:r>
            </m:e>
          </m:d>
          <m:r>
            <m:t> </m:t>
          </m:r>
          <m:r>
            <m:rPr>
              <m:sty m:val="p"/>
            </m:rPr>
            <m:t>≥</m:t>
          </m:r>
          <m:r>
            <m:t> </m:t>
          </m:r>
          <m:f>
            <m:fPr>
              <m:type m:val="lin"/>
            </m:fPr>
            <m:num>
              <m:r>
                <m:t>1</m:t>
              </m:r>
            </m:num>
            <m:den>
              <m:r>
                <m:t>2</m:t>
              </m:r>
            </m:den>
          </m:f>
          <m:sSub>
            <m:e>
              <m:r>
                <m:t>I</m:t>
              </m:r>
            </m:e>
            <m:sub>
              <m:r>
                <m:t>3</m:t>
              </m:r>
            </m:sub>
          </m:sSub>
          <m:r>
            <m:t> </m:t>
          </m:r>
          <m:sSubSup>
            <m:e>
              <m:r>
                <m:t>ω</m:t>
              </m:r>
            </m:e>
            <m:sub>
              <m:r>
                <m:t>1</m:t>
              </m:r>
            </m:sub>
            <m:sup>
              <m:r>
                <m:t>2</m:t>
              </m:r>
            </m:sup>
          </m:sSubSup>
          <m:r>
            <m:rPr>
              <m:sty m:val="p"/>
            </m:rPr>
            <m:t>+</m:t>
          </m:r>
          <m:r>
            <m:t>M</m:t>
          </m:r>
          <m:r>
            <m:t>g</m:t>
          </m:r>
          <m:r>
            <m:t>R</m:t>
          </m:r>
          <m:d>
            <m:dPr>
              <m:begChr m:val="("/>
              <m:endChr m:val=")"/>
              <m:sepChr m:val=""/>
              <m:grow/>
            </m:dPr>
            <m:e>
              <m:r>
                <m:t>1</m:t>
              </m:r>
              <m:r>
                <m:rPr>
                  <m:sty m:val="p"/>
                </m:rPr>
                <m:t>+</m:t>
              </m:r>
              <m:r>
                <m:t>α</m:t>
              </m:r>
            </m:e>
          </m:d>
          <m:r>
            <m:rPr>
              <m:sty m:val="p"/>
            </m:rPr>
            <m:t>.</m:t>
          </m:r>
        </m:oMath>
      </m:oMathPara>
    </w:p>
    <w:p>
      <w:pPr>
        <w:pStyle w:val="FirstParagraph"/>
      </w:pPr>
      <w:r>
        <w:t xml:space="preserve">Indsæt</w:t>
      </w:r>
      <w:r>
        <w:t xml:space="preserve"> </w:t>
      </w:r>
      <m:oMath>
        <m:sSub>
          <m:e>
            <m:r>
              <m:t>ω</m:t>
            </m:r>
          </m:e>
          <m:sub>
            <m:r>
              <m:t>1</m:t>
            </m:r>
          </m:sub>
        </m:sSub>
      </m:oMath>
      <w:r>
        <w:t xml:space="preserve"> </w:t>
      </w:r>
      <w:r>
        <w:t xml:space="preserve">og brug</w:t>
      </w:r>
    </w:p>
    <w:p>
      <w:pPr>
        <w:pStyle w:val="BodyText"/>
      </w:pPr>
      <m:oMathPara>
        <m:oMathParaPr>
          <m:jc m:val="center"/>
        </m:oMathParaPr>
        <m:oMath>
          <m:r>
            <m:t>1</m:t>
          </m:r>
          <m:r>
            <m:rPr>
              <m:sty m:val="p"/>
            </m:rPr>
            <m:t>−</m:t>
          </m:r>
          <m:sSup>
            <m:e>
              <m:d>
                <m:dPr>
                  <m:begChr m:val="("/>
                  <m:endChr m:val=")"/>
                  <m:sepChr m:val=""/>
                  <m:grow/>
                </m:dPr>
                <m:e>
                  <m:f>
                    <m:fPr>
                      <m:type m:val="bar"/>
                    </m:fPr>
                    <m:num>
                      <m:r>
                        <m:t>1</m:t>
                      </m:r>
                      <m:r>
                        <m:rPr>
                          <m:sty m:val="p"/>
                        </m:rPr>
                        <m:t>−</m:t>
                      </m:r>
                      <m:r>
                        <m:t>α</m:t>
                      </m:r>
                    </m:num>
                    <m:den>
                      <m:r>
                        <m:t>1</m:t>
                      </m:r>
                      <m:r>
                        <m:rPr>
                          <m:sty m:val="p"/>
                        </m:rPr>
                        <m:t>+</m:t>
                      </m:r>
                      <m:r>
                        <m:t>α</m:t>
                      </m:r>
                    </m:den>
                  </m:f>
                </m:e>
              </m:d>
            </m:e>
            <m:sup>
              <m:r>
                <m:t>2</m:t>
              </m:r>
            </m:sup>
          </m:sSup>
          <m:r>
            <m:rPr>
              <m:sty m:val="p"/>
            </m:rPr>
            <m:t>=</m:t>
          </m:r>
          <m:f>
            <m:fPr>
              <m:type m:val="bar"/>
            </m:fPr>
            <m:num>
              <m:sSup>
                <m:e>
                  <m:d>
                    <m:dPr>
                      <m:begChr m:val="("/>
                      <m:endChr m:val=")"/>
                      <m:sepChr m:val=""/>
                      <m:grow/>
                    </m:dPr>
                    <m:e>
                      <m:r>
                        <m:t>1</m:t>
                      </m:r>
                      <m:r>
                        <m:rPr>
                          <m:sty m:val="p"/>
                        </m:rPr>
                        <m:t>+</m:t>
                      </m:r>
                      <m:r>
                        <m:t>α</m:t>
                      </m:r>
                    </m:e>
                  </m:d>
                </m:e>
                <m:sup>
                  <m:r>
                    <m:t>2</m:t>
                  </m:r>
                </m:sup>
              </m:sSup>
              <m:r>
                <m:rPr>
                  <m:sty m:val="p"/>
                </m:rPr>
                <m:t>−</m:t>
              </m:r>
              <m:sSup>
                <m:e>
                  <m:d>
                    <m:dPr>
                      <m:begChr m:val="("/>
                      <m:endChr m:val=")"/>
                      <m:sepChr m:val=""/>
                      <m:grow/>
                    </m:dPr>
                    <m:e>
                      <m:r>
                        <m:t>1</m:t>
                      </m:r>
                      <m:r>
                        <m:rPr>
                          <m:sty m:val="p"/>
                        </m:rPr>
                        <m:t>−</m:t>
                      </m:r>
                      <m:r>
                        <m:t>α</m:t>
                      </m:r>
                    </m:e>
                  </m:d>
                </m:e>
                <m:sup>
                  <m:r>
                    <m:t>2</m:t>
                  </m:r>
                </m:sup>
              </m:sSup>
            </m:num>
            <m:den>
              <m:sSup>
                <m:e>
                  <m:d>
                    <m:dPr>
                      <m:begChr m:val="("/>
                      <m:endChr m:val=")"/>
                      <m:sepChr m:val=""/>
                      <m:grow/>
                    </m:dPr>
                    <m:e>
                      <m:r>
                        <m:t>1</m:t>
                      </m:r>
                      <m:r>
                        <m:rPr>
                          <m:sty m:val="p"/>
                        </m:rPr>
                        <m:t>+</m:t>
                      </m:r>
                      <m:r>
                        <m:t>α</m:t>
                      </m:r>
                    </m:e>
                  </m:d>
                </m:e>
                <m:sup>
                  <m:r>
                    <m:t>2</m:t>
                  </m:r>
                </m:sup>
              </m:sSup>
            </m:den>
          </m:f>
          <m:r>
            <m:rPr>
              <m:sty m:val="p"/>
            </m:rPr>
            <m:t>=</m:t>
          </m:r>
          <m:f>
            <m:fPr>
              <m:type m:val="bar"/>
            </m:fPr>
            <m:num>
              <m:r>
                <m:t>4</m:t>
              </m:r>
              <m:r>
                <m:t>α</m:t>
              </m:r>
            </m:num>
            <m:den>
              <m:sSup>
                <m:e>
                  <m:d>
                    <m:dPr>
                      <m:begChr m:val="("/>
                      <m:endChr m:val=")"/>
                      <m:sepChr m:val=""/>
                      <m:grow/>
                    </m:dPr>
                    <m:e>
                      <m:r>
                        <m:t>1</m:t>
                      </m:r>
                      <m:r>
                        <m:rPr>
                          <m:sty m:val="p"/>
                        </m:rPr>
                        <m:t>+</m:t>
                      </m:r>
                      <m:r>
                        <m:t>α</m:t>
                      </m:r>
                    </m:e>
                  </m:d>
                </m:e>
                <m:sup>
                  <m:r>
                    <m:t>2</m:t>
                  </m:r>
                </m:sup>
              </m:sSup>
            </m:den>
          </m:f>
          <m:r>
            <m:rPr>
              <m:sty m:val="p"/>
            </m:rPr>
            <m:t>.</m:t>
          </m:r>
        </m:oMath>
      </m:oMathPara>
    </w:p>
    <w:p>
      <w:pPr>
        <w:pStyle w:val="FirstParagraph"/>
      </w:pPr>
      <w:r>
        <w:t xml:space="preserve">Så reduceres uligheden til</w:t>
      </w:r>
    </w:p>
    <w:p>
      <w:pPr>
        <w:pStyle w:val="BodyText"/>
      </w:pPr>
      <m:oMathPara>
        <m:oMathParaPr>
          <m:jc m:val="center"/>
        </m:oMathParaPr>
        <m:oMath>
          <m:f>
            <m:fPr>
              <m:type m:val="bar"/>
            </m:fPr>
            <m:num>
              <m:r>
                <m:t>2</m:t>
              </m:r>
              <m:r>
                <m:t>α</m:t>
              </m:r>
              <m:r>
                <m:t> </m:t>
              </m:r>
              <m:sSub>
                <m:e>
                  <m:r>
                    <m:t>I</m:t>
                  </m:r>
                </m:e>
                <m:sub>
                  <m:r>
                    <m:t>3</m:t>
                  </m:r>
                </m:sub>
              </m:sSub>
              <m:r>
                <m:t> </m:t>
              </m:r>
              <m:sSubSup>
                <m:e>
                  <m:r>
                    <m:t>ω</m:t>
                  </m:r>
                </m:e>
                <m:sub>
                  <m:r>
                    <m:t>0</m:t>
                  </m:r>
                </m:sub>
                <m:sup>
                  <m:r>
                    <m:t>2</m:t>
                  </m:r>
                </m:sup>
              </m:sSubSup>
            </m:num>
            <m:den>
              <m:sSup>
                <m:e>
                  <m:d>
                    <m:dPr>
                      <m:begChr m:val="("/>
                      <m:endChr m:val=")"/>
                      <m:sepChr m:val=""/>
                      <m:grow/>
                    </m:dPr>
                    <m:e>
                      <m:r>
                        <m:t>1</m:t>
                      </m:r>
                      <m:r>
                        <m:rPr>
                          <m:sty m:val="p"/>
                        </m:rPr>
                        <m:t>+</m:t>
                      </m:r>
                      <m:r>
                        <m:t>α</m:t>
                      </m:r>
                    </m:e>
                  </m:d>
                </m:e>
                <m:sup>
                  <m:r>
                    <m:t>2</m:t>
                  </m:r>
                </m:sup>
              </m:sSup>
            </m:den>
          </m:f>
          <m:r>
            <m:rPr>
              <m:sty m:val="p"/>
            </m:rPr>
            <m:t>≥</m:t>
          </m:r>
          <m:r>
            <m:t>2</m:t>
          </m:r>
          <m:r>
            <m:t>α</m:t>
          </m:r>
          <m:r>
            <m:t> </m:t>
          </m:r>
          <m:r>
            <m:t>M</m:t>
          </m:r>
          <m:r>
            <m:t>g</m:t>
          </m:r>
          <m:r>
            <m:t>R</m:t>
          </m:r>
          <m:r>
            <m:t> </m:t>
          </m:r>
          <m:r>
            <m:rPr>
              <m:sty m:val="p"/>
            </m:rPr>
            <m:t>⇔</m:t>
          </m:r>
          <m:r>
            <m:t> </m:t>
          </m:r>
          <m:sSubSup>
            <m:e>
              <m:r>
                <m:t>ω</m:t>
              </m:r>
            </m:e>
            <m:sub>
              <m:r>
                <m:t>0</m:t>
              </m:r>
            </m:sub>
            <m:sup>
              <m:r>
                <m:t>2</m:t>
              </m:r>
            </m:sup>
          </m:sSubSup>
          <m:r>
            <m:rPr>
              <m:sty m:val="p"/>
            </m:rPr>
            <m:t>≥</m:t>
          </m:r>
          <m:f>
            <m:fPr>
              <m:type m:val="bar"/>
            </m:fPr>
            <m:num>
              <m:r>
                <m:t>M</m:t>
              </m:r>
              <m:r>
                <m:t>g</m:t>
              </m:r>
              <m:r>
                <m:t>R</m:t>
              </m:r>
              <m:sSup>
                <m:e>
                  <m:d>
                    <m:dPr>
                      <m:begChr m:val="("/>
                      <m:endChr m:val=")"/>
                      <m:sepChr m:val=""/>
                      <m:grow/>
                    </m:dPr>
                    <m:e>
                      <m:r>
                        <m:t>1</m:t>
                      </m:r>
                      <m:r>
                        <m:rPr>
                          <m:sty m:val="p"/>
                        </m:rPr>
                        <m:t>+</m:t>
                      </m:r>
                      <m:r>
                        <m:t>α</m:t>
                      </m:r>
                    </m:e>
                  </m:d>
                </m:e>
                <m:sup>
                  <m:r>
                    <m:t>2</m:t>
                  </m:r>
                </m:sup>
              </m:sSup>
            </m:num>
            <m:den>
              <m:sSub>
                <m:e>
                  <m:r>
                    <m:t>I</m:t>
                  </m:r>
                </m:e>
                <m:sub>
                  <m:r>
                    <m:t>3</m:t>
                  </m:r>
                </m:sub>
              </m:sSub>
            </m:den>
          </m:f>
          <m:r>
            <m:rPr>
              <m:sty m:val="p"/>
            </m:rPr>
            <m:t>.</m:t>
          </m:r>
        </m:oMath>
      </m:oMathPara>
    </w:p>
    <w:p>
      <w:pPr>
        <w:pStyle w:val="FirstParagraph"/>
      </w:pPr>
      <w:r>
        <w:rPr>
          <w:bCs/>
          <w:b/>
        </w:rPr>
        <w:t xml:space="preserve">Taleksempel.</w:t>
      </w:r>
      <w:r>
        <w:t xml:space="preserve"> </w:t>
      </w:r>
      <w:r>
        <w:t xml:space="preserve">En typisk tippetop har</w:t>
      </w:r>
      <w:r>
        <w:t xml:space="preserve"> </w:t>
      </w:r>
      <m:oMath>
        <m:r>
          <m:t>R</m:t>
        </m:r>
        <m:r>
          <m:rPr>
            <m:sty m:val="p"/>
          </m:rPr>
          <m:t>=</m:t>
        </m:r>
        <m:r>
          <m:t>1</m:t>
        </m:r>
        <m:r>
          <m:rPr>
            <m:sty m:val="p"/>
          </m:rPr>
          <m:t>,</m:t>
        </m:r>
        <m:r>
          <m:t>5</m:t>
        </m:r>
      </m:oMath>
      <w:r>
        <w:t xml:space="preserve"> </w:t>
      </w:r>
      <w:r>
        <w:t xml:space="preserve">cm og</w:t>
      </w:r>
      <w:r>
        <w:t xml:space="preserve"> </w:t>
      </w:r>
      <m:oMath>
        <m:r>
          <m:t>α</m:t>
        </m:r>
        <m:r>
          <m:rPr>
            <m:sty m:val="p"/>
          </m:rPr>
          <m:t>≈</m:t>
        </m:r>
        <m:r>
          <m:t>0</m:t>
        </m:r>
        <m:r>
          <m:rPr>
            <m:sty m:val="p"/>
          </m:rPr>
          <m:t>,</m:t>
        </m:r>
        <m:r>
          <m:t>3</m:t>
        </m:r>
      </m:oMath>
      <w:r>
        <w:t xml:space="preserve">. Sættes</w:t>
      </w:r>
      <w:r>
        <w:t xml:space="preserve"> </w:t>
      </w:r>
      <m:oMath>
        <m:sSub>
          <m:e>
            <m:r>
              <m:t>I</m:t>
            </m:r>
          </m:e>
          <m:sub>
            <m:r>
              <m:t>3</m:t>
            </m:r>
          </m:sub>
        </m:sSub>
        <m:r>
          <m:rPr>
            <m:sty m:val="p"/>
          </m:rPr>
          <m:t>≈</m:t>
        </m:r>
        <m:r>
          <m:t>0</m:t>
        </m:r>
        <m:r>
          <m:rPr>
            <m:sty m:val="p"/>
          </m:rPr>
          <m:t>,</m:t>
        </m:r>
        <m:r>
          <m:t>4</m:t>
        </m:r>
        <m:r>
          <m:t> </m:t>
        </m:r>
        <m:r>
          <m:t>M</m:t>
        </m:r>
        <m:sSup>
          <m:e>
            <m:r>
              <m:t>R</m:t>
            </m:r>
          </m:e>
          <m:sup>
            <m:r>
              <m:t>2</m:t>
            </m:r>
          </m:sup>
        </m:sSup>
      </m:oMath>
      <w:r>
        <w:t xml:space="preserve"> </w:t>
      </w:r>
      <w:r>
        <w:t xml:space="preserve">(massiv kugle), bliver</w:t>
      </w:r>
    </w:p>
    <w:p>
      <w:pPr>
        <w:pStyle w:val="BodyText"/>
      </w:pPr>
      <m:oMathPara>
        <m:oMathParaPr>
          <m:jc m:val="center"/>
        </m:oMathParaPr>
        <m:oMath>
          <m:sSub>
            <m:e>
              <m:r>
                <m:t>ω</m:t>
              </m:r>
            </m:e>
            <m:sub>
              <m:r>
                <m:t>0</m:t>
              </m:r>
            </m:sub>
          </m:sSub>
          <m:r>
            <m:rPr>
              <m:sty m:val="p"/>
            </m:rPr>
            <m:t>≥</m:t>
          </m:r>
          <m:rad>
            <m:radPr>
              <m:degHide m:val="on"/>
            </m:radPr>
            <m:deg/>
            <m:e>
              <m:f>
                <m:fPr>
                  <m:type m:val="bar"/>
                </m:fPr>
                <m:num>
                  <m:r>
                    <m:t>g</m:t>
                  </m:r>
                  <m:sSup>
                    <m:e>
                      <m:d>
                        <m:dPr>
                          <m:begChr m:val="("/>
                          <m:endChr m:val=")"/>
                          <m:sepChr m:val=""/>
                          <m:grow/>
                        </m:dPr>
                        <m:e>
                          <m:r>
                            <m:t>1</m:t>
                          </m:r>
                          <m:r>
                            <m:rPr>
                              <m:sty m:val="p"/>
                            </m:rPr>
                            <m:t>+</m:t>
                          </m:r>
                          <m:r>
                            <m:t>α</m:t>
                          </m:r>
                        </m:e>
                      </m:d>
                    </m:e>
                    <m:sup>
                      <m:r>
                        <m:t>2</m:t>
                      </m:r>
                    </m:sup>
                  </m:sSup>
                </m:num>
                <m:den>
                  <m:r>
                    <m:t>0</m:t>
                  </m:r>
                  <m:r>
                    <m:rPr>
                      <m:sty m:val="p"/>
                    </m:rPr>
                    <m:t>,</m:t>
                  </m:r>
                  <m:r>
                    <m:t>4</m:t>
                  </m:r>
                  <m:r>
                    <m:t> </m:t>
                  </m:r>
                  <m:r>
                    <m:t>R</m:t>
                  </m:r>
                </m:den>
              </m:f>
            </m:e>
          </m:rad>
          <m:r>
            <m:rPr>
              <m:sty m:val="p"/>
            </m:rPr>
            <m:t>≈</m:t>
          </m:r>
          <m:r>
            <m:t>53</m:t>
          </m:r>
          <m:r>
            <m:t> </m:t>
          </m:r>
          <m:r>
            <m:rPr>
              <m:nor/>
              <m:sty m:val="p"/>
            </m:rPr>
            <m:t>rad/s</m:t>
          </m:r>
          <m:r>
            <m:rPr>
              <m:sty m:val="p"/>
            </m:rPr>
            <m:t>≈</m:t>
          </m:r>
          <m:r>
            <m:t>8</m:t>
          </m:r>
          <m:r>
            <m:t> </m:t>
          </m:r>
          <m:r>
            <m:rPr>
              <m:nor/>
              <m:sty m:val="p"/>
            </m:rPr>
            <m:t>omdrejninger pr. sekund</m:t>
          </m:r>
          <m:r>
            <m:rPr>
              <m:sty m:val="p"/>
            </m:rPr>
            <m:t>.</m:t>
          </m:r>
        </m:oMath>
      </m:oMathPara>
    </w:p>
    <w:p>
      <w:pPr>
        <w:pStyle w:val="FirstParagraph"/>
      </w:pPr>
      <w:r>
        <w:t xml:space="preserve">Det er let at overgå med fingrene. Efter vendingen roterer toppen med</w:t>
      </w:r>
      <w:r>
        <w:t xml:space="preserve"> </w:t>
      </w:r>
      <m:oMath>
        <m:sSub>
          <m:e>
            <m:r>
              <m:t>ω</m:t>
            </m:r>
          </m:e>
          <m:sub>
            <m:r>
              <m:t>1</m:t>
            </m:r>
          </m:sub>
        </m:sSub>
        <m:r>
          <m:rPr>
            <m:sty m:val="p"/>
          </m:rPr>
          <m:t>≈</m:t>
        </m:r>
        <m:r>
          <m:t>0</m:t>
        </m:r>
        <m:r>
          <m:rPr>
            <m:sty m:val="p"/>
          </m:rPr>
          <m:t>,</m:t>
        </m:r>
        <m:r>
          <m:t>54</m:t>
        </m:r>
        <m:r>
          <m:t> </m:t>
        </m:r>
        <m:sSub>
          <m:e>
            <m:r>
              <m:t>ω</m:t>
            </m:r>
          </m:e>
          <m:sub>
            <m:r>
              <m:t>0</m:t>
            </m:r>
          </m:sub>
        </m:sSub>
      </m:oMath>
      <w:r>
        <w:t xml:space="preserve">.</w:t>
      </w:r>
    </w:p>
    <w:bookmarkEnd w:id="41"/>
    <w:bookmarkStart w:id="45" w:name="stabilitet-hvorfor-toppen-vælter"/>
    <w:p>
      <w:pPr>
        <w:pStyle w:val="Heading2"/>
      </w:pPr>
      <w:r>
        <w:rPr>
          <w:rStyle w:val="SectionNumber"/>
        </w:rPr>
        <w:t xml:space="preserve">3.8</w:t>
      </w:r>
      <w:r>
        <w:tab/>
      </w:r>
      <w:r>
        <w:t xml:space="preserve">Stabilitet: hvorfor toppen vælter</w:t>
      </w:r>
    </w:p>
    <w:p>
      <w:pPr>
        <w:pStyle w:val="FirstParagraph"/>
      </w:pPr>
      <w:r>
        <w:t xml:space="preserve">Energitærsklen fortæller, at vendingen er</w:t>
      </w:r>
      <w:r>
        <w:t xml:space="preserve"> </w:t>
      </w:r>
      <w:r>
        <w:rPr>
          <w:iCs/>
          <w:i/>
        </w:rPr>
        <w:t xml:space="preserve">mulig</w:t>
      </w:r>
      <w:r>
        <w:t xml:space="preserve">, men ikke, at den</w:t>
      </w:r>
      <w:r>
        <w:t xml:space="preserve"> </w:t>
      </w:r>
      <w:r>
        <w:rPr>
          <w:iCs/>
          <w:i/>
        </w:rPr>
        <w:t xml:space="preserve">sker</w:t>
      </w:r>
      <w:r>
        <w:t xml:space="preserve">. Til det skal man undersøge, hvilke tilstande der er stabile, når friktionen trækker energi ud ved fast</w:t>
      </w:r>
      <w:r>
        <w:t xml:space="preserve"> </w:t>
      </w:r>
      <m:oMath>
        <m:r>
          <m:t>J</m:t>
        </m:r>
      </m:oMath>
      <w:r>
        <w:t xml:space="preserve">.</w:t>
      </w:r>
    </w:p>
    <w:p>
      <w:pPr>
        <w:pStyle w:val="BodyText"/>
      </w:pPr>
      <w:r>
        <w:t xml:space="preserve">Ved hurtig rotation dominerer rotationsenergien over den potentielle energi og translationsenergien. Vi søger derfor minimum af</w:t>
      </w:r>
    </w:p>
    <w:p>
      <w:pPr>
        <w:pStyle w:val="BodyText"/>
      </w:pPr>
      <m:oMathPara>
        <m:oMathParaPr>
          <m:jc m:val="center"/>
        </m:oMathParaPr>
        <m:oMath>
          <m:sSub>
            <m:e>
              <m:r>
                <m:t>E</m:t>
              </m:r>
            </m:e>
            <m:sub>
              <m:r>
                <m:rPr>
                  <m:nor/>
                  <m:sty m:val="p"/>
                </m:rPr>
                <m:t>rot</m:t>
              </m:r>
            </m:sub>
          </m:sSub>
          <m:r>
            <m:rPr>
              <m:sty m:val="p"/>
            </m:rPr>
            <m:t>=</m:t>
          </m:r>
          <m:f>
            <m:fPr>
              <m:type m:val="lin"/>
            </m:fPr>
            <m:num>
              <m:r>
                <m:t>1</m:t>
              </m:r>
            </m:num>
            <m:den>
              <m:r>
                <m:t>2</m:t>
              </m:r>
            </m:den>
          </m:f>
          <m:r>
            <m:t> </m:t>
          </m:r>
          <m:r>
            <m:rPr>
              <m:sty m:val="b"/>
            </m:rPr>
            <m:t>L</m:t>
          </m:r>
          <m:r>
            <m:rPr>
              <m:sty m:val="p"/>
            </m:rPr>
            <m:t>⋅</m:t>
          </m:r>
          <m:sSup>
            <m:e>
              <m:r>
                <m:t>I</m:t>
              </m:r>
            </m:e>
            <m:sup>
              <m:r>
                <m:rPr>
                  <m:sty m:val="p"/>
                </m:rPr>
                <m:t>−</m:t>
              </m:r>
              <m:r>
                <m:t>1</m:t>
              </m:r>
            </m:sup>
          </m:sSup>
          <m:r>
            <m:rPr>
              <m:sty m:val="b"/>
            </m:rPr>
            <m:t>L</m:t>
          </m:r>
          <m:r>
            <m:t>  </m:t>
          </m:r>
          <m:r>
            <m:rPr>
              <m:nor/>
              <m:sty m:val="p"/>
            </m:rPr>
            <m:t>under bibetingelsen</m:t>
          </m:r>
          <m:r>
            <m:t>  </m:t>
          </m:r>
          <m:r>
            <m:rPr>
              <m:sty m:val="b"/>
            </m:rPr>
            <m:t>L</m:t>
          </m:r>
          <m:r>
            <m:rPr>
              <m:sty m:val="p"/>
            </m:rPr>
            <m:t>⋅</m:t>
          </m:r>
          <m:r>
            <m:rPr>
              <m:sty m:val="b"/>
            </m:rPr>
            <m:t>a</m:t>
          </m:r>
          <m:r>
            <m:rPr>
              <m:sty m:val="p"/>
            </m:rPr>
            <m:t>=</m:t>
          </m:r>
          <m:r>
            <m:t>J</m:t>
          </m:r>
        </m:oMath>
      </m:oMathPara>
    </w:p>
    <w:p>
      <w:pPr>
        <w:pStyle w:val="FirstParagraph"/>
      </w:pPr>
      <w:r>
        <w:t xml:space="preserve">ved en given orientering</w:t>
      </w:r>
      <w:r>
        <w:t xml:space="preserve"> </w:t>
      </w:r>
      <m:oMath>
        <m:r>
          <m:t>θ</m:t>
        </m:r>
      </m:oMath>
      <w:r>
        <w:t xml:space="preserve">. Lagrange-multiplikatormetoden giver</w:t>
      </w:r>
      <w:r>
        <w:t xml:space="preserve"> </w:t>
      </w:r>
      <m:oMath>
        <m:sSup>
          <m:e>
            <m:r>
              <m:t>I</m:t>
            </m:r>
          </m:e>
          <m:sup>
            <m:r>
              <m:rPr>
                <m:sty m:val="p"/>
              </m:rPr>
              <m:t>−</m:t>
            </m:r>
            <m:r>
              <m:t>1</m:t>
            </m:r>
          </m:sup>
        </m:sSup>
        <m:r>
          <m:rPr>
            <m:sty m:val="b"/>
          </m:rPr>
          <m:t>L</m:t>
        </m:r>
        <m:r>
          <m:rPr>
            <m:sty m:val="p"/>
          </m:rPr>
          <m:t>=</m:t>
        </m:r>
        <m:r>
          <m:t>λ</m:t>
        </m:r>
        <m:r>
          <m:t> </m:t>
        </m:r>
        <m:r>
          <m:rPr>
            <m:sty m:val="b"/>
          </m:rPr>
          <m:t>a</m:t>
        </m:r>
      </m:oMath>
      <w:r>
        <w:t xml:space="preserve">, altså</w:t>
      </w:r>
      <w:r>
        <w:t xml:space="preserve"> </w:t>
      </w:r>
      <m:oMath>
        <m:r>
          <m:rPr>
            <m:sty m:val="b"/>
          </m:rPr>
          <m:t>ω</m:t>
        </m:r>
        <m:r>
          <m:rPr>
            <m:sty m:val="p"/>
          </m:rPr>
          <m:t>=</m:t>
        </m:r>
        <m:r>
          <m:t>λ</m:t>
        </m:r>
        <m:r>
          <m:t> </m:t>
        </m:r>
        <m:r>
          <m:rPr>
            <m:sty m:val="b"/>
          </m:rPr>
          <m:t>a</m:t>
        </m:r>
      </m:oMath>
      <w:r>
        <w:t xml:space="preserve">, og</w:t>
      </w:r>
    </w:p>
    <w:p>
      <w:pPr>
        <w:pStyle w:val="BodyText"/>
      </w:pPr>
      <m:oMathPara>
        <m:oMathParaPr>
          <m:jc m:val="center"/>
        </m:oMathParaPr>
        <m:oMath>
          <m:sSub>
            <m:e>
              <m:r>
                <m:t>E</m:t>
              </m:r>
            </m:e>
            <m:sub>
              <m:r>
                <m:rPr>
                  <m:nor/>
                  <m:sty m:val="p"/>
                </m:rPr>
                <m:t>rot,min</m:t>
              </m:r>
            </m:sub>
          </m:sSub>
          <m:d>
            <m:dPr>
              <m:begChr m:val="("/>
              <m:endChr m:val=")"/>
              <m:sepChr m:val=""/>
              <m:grow/>
            </m:dPr>
            <m:e>
              <m:r>
                <m:t>θ</m:t>
              </m:r>
            </m:e>
          </m:d>
          <m:r>
            <m:rPr>
              <m:sty m:val="p"/>
            </m:rPr>
            <m:t>=</m:t>
          </m:r>
          <m:f>
            <m:fPr>
              <m:type m:val="bar"/>
            </m:fPr>
            <m:num>
              <m:sSup>
                <m:e>
                  <m:r>
                    <m:t>J</m:t>
                  </m:r>
                </m:e>
                <m:sup>
                  <m:r>
                    <m:t>2</m:t>
                  </m:r>
                </m:sup>
              </m:sSup>
            </m:num>
            <m:den>
              <m:r>
                <m:t>2</m:t>
              </m:r>
              <m:r>
                <m:t> </m:t>
              </m:r>
              <m:r>
                <m:rPr>
                  <m:sty m:val="b"/>
                </m:rPr>
                <m:t>a</m:t>
              </m:r>
              <m:r>
                <m:rPr>
                  <m:sty m:val="p"/>
                </m:rPr>
                <m:t>⋅</m:t>
              </m:r>
              <m:r>
                <m:t>I</m:t>
              </m:r>
              <m:r>
                <m:t> </m:t>
              </m:r>
              <m:r>
                <m:rPr>
                  <m:sty m:val="b"/>
                </m:rPr>
                <m:t>a</m:t>
              </m:r>
            </m:den>
          </m:f>
          <m:r>
            <m:rPr>
              <m:sty m:val="p"/>
            </m:rPr>
            <m:t>.</m:t>
          </m:r>
        </m:oMath>
      </m:oMathPara>
    </w:p>
    <w:p>
      <w:pPr>
        <w:pStyle w:val="FirstParagraph"/>
      </w:pPr>
      <w:r>
        <w:t xml:space="preserve">Resultatet har en pæn fysisk tolkning: minimum antages, når toppen roterer om linjen</w:t>
      </w:r>
      <w:r>
        <w:t xml:space="preserve"> </w:t>
      </w:r>
      <m:oMath>
        <m:r>
          <m:t>C</m:t>
        </m:r>
        <m:r>
          <m:t>P</m:t>
        </m:r>
      </m:oMath>
      <w:r>
        <w:t xml:space="preserve">. Så er</w:t>
      </w:r>
      <w:r>
        <w:t xml:space="preserve"> </w:t>
      </w:r>
      <m:oMath>
        <m:r>
          <m:rPr>
            <m:sty m:val="b"/>
          </m:rPr>
          <m:t>ω</m:t>
        </m:r>
        <m:r>
          <m:rPr>
            <m:sty m:val="p"/>
          </m:rPr>
          <m:t>×</m:t>
        </m:r>
        <m:r>
          <m:rPr>
            <m:sty m:val="b"/>
          </m:rPr>
          <m:t>a</m:t>
        </m:r>
        <m:r>
          <m:rPr>
            <m:sty m:val="p"/>
          </m:rPr>
          <m:t>=</m:t>
        </m:r>
        <m:r>
          <m:rPr>
            <m:sty m:val="b"/>
          </m:rPr>
          <m:t>0</m:t>
        </m:r>
      </m:oMath>
      <w:r>
        <w:t xml:space="preserve">, og med</w:t>
      </w:r>
      <w:r>
        <w:t xml:space="preserve"> </w:t>
      </w:r>
      <m:oMath>
        <m:sSub>
          <m:e>
            <m:r>
              <m:rPr>
                <m:sty m:val="b"/>
              </m:rPr>
              <m:t>v</m:t>
            </m:r>
          </m:e>
          <m:sub>
            <m:r>
              <m:t>C</m:t>
            </m:r>
          </m:sub>
        </m:sSub>
        <m:r>
          <m:rPr>
            <m:sty m:val="p"/>
          </m:rPr>
          <m:t>=</m:t>
        </m:r>
        <m:r>
          <m:rPr>
            <m:sty m:val="b"/>
          </m:rPr>
          <m:t>0</m:t>
        </m:r>
      </m:oMath>
      <w:r>
        <w:t xml:space="preserve"> </w:t>
      </w:r>
      <w:r>
        <w:t xml:space="preserve">glider kontaktpunktet ikke. Det er netop de tilstande, friktionen ikke kan ændre.</w:t>
      </w:r>
    </w:p>
    <w:p>
      <w:pPr>
        <w:pStyle w:val="BodyText"/>
      </w:pPr>
      <w:r>
        <w:t xml:space="preserve">Skriv</w:t>
      </w:r>
      <w:r>
        <w:t xml:space="preserve"> </w:t>
      </w:r>
      <m:oMath>
        <m:r>
          <m:rPr>
            <m:sty m:val="b"/>
          </m:rPr>
          <m:t>a</m:t>
        </m:r>
        <m:r>
          <m:rPr>
            <m:sty m:val="p"/>
          </m:rPr>
          <m:t>=</m:t>
        </m:r>
        <m:r>
          <m:t>R</m:t>
        </m:r>
        <m:d>
          <m:dPr>
            <m:begChr m:val="("/>
            <m:endChr m:val=")"/>
            <m:sepChr m:val=""/>
            <m:grow/>
          </m:dPr>
          <m:e>
            <m:r>
              <m:t>α</m:t>
            </m:r>
            <m:r>
              <m:t> </m:t>
            </m:r>
            <m:sSub>
              <m:e>
                <m:acc>
                  <m:accPr>
                    <m:chr m:val="̂"/>
                  </m:accPr>
                  <m:e>
                    <m:r>
                      <m:rPr>
                        <m:sty m:val="b"/>
                      </m:rPr>
                      <m:t>e</m:t>
                    </m:r>
                  </m:e>
                </m:acc>
              </m:e>
              <m:sub>
                <m:r>
                  <m:t>3</m:t>
                </m:r>
              </m:sub>
            </m:sSub>
            <m:r>
              <m:rPr>
                <m:sty m:val="p"/>
              </m:rPr>
              <m:t>−</m:t>
            </m:r>
            <m:acc>
              <m:accPr>
                <m:chr m:val="̂"/>
              </m:accPr>
              <m:e>
                <m:r>
                  <m:rPr>
                    <m:sty m:val="b"/>
                  </m:rPr>
                  <m:t>z</m:t>
                </m:r>
              </m:e>
            </m:acc>
          </m:e>
        </m:d>
      </m:oMath>
      <w:r>
        <w:t xml:space="preserve"> </w:t>
      </w:r>
      <w:r>
        <w:t xml:space="preserve">i legemets hovedakser. Komposanten langs</w:t>
      </w:r>
      <w:r>
        <w:t xml:space="preserve"> </w:t>
      </w:r>
      <m:oMath>
        <m:sSub>
          <m:e>
            <m:acc>
              <m:accPr>
                <m:chr m:val="̂"/>
              </m:accPr>
              <m:e>
                <m:r>
                  <m:rPr>
                    <m:sty m:val="b"/>
                  </m:rPr>
                  <m:t>e</m:t>
                </m:r>
              </m:e>
            </m:acc>
          </m:e>
          <m:sub>
            <m:r>
              <m:t>3</m:t>
            </m:r>
          </m:sub>
        </m:sSub>
      </m:oMath>
      <w:r>
        <w:t xml:space="preserve"> </w:t>
      </w:r>
      <w:r>
        <w:t xml:space="preserve">er</w:t>
      </w:r>
      <w:r>
        <w:t xml:space="preserve"> </w:t>
      </w:r>
      <m:oMath>
        <m:r>
          <m:t>R</m:t>
        </m:r>
        <m:d>
          <m:dPr>
            <m:begChr m:val="("/>
            <m:endChr m:val=")"/>
            <m:sepChr m:val=""/>
            <m:grow/>
          </m:dPr>
          <m:e>
            <m:r>
              <m:t>α</m:t>
            </m:r>
            <m:r>
              <m:rPr>
                <m:sty m:val="p"/>
              </m:rPr>
              <m:t>−</m:t>
            </m:r>
            <m:r>
              <m:rPr>
                <m:sty m:val="p"/>
              </m:rPr>
              <m:t>cos</m:t>
            </m:r>
            <m:r>
              <m:t>θ</m:t>
            </m:r>
          </m:e>
        </m:d>
      </m:oMath>
      <w:r>
        <w:t xml:space="preserve">, og den vinkelrette komposant har størrelsen</w:t>
      </w:r>
      <w:r>
        <w:t xml:space="preserve"> </w:t>
      </w:r>
      <m:oMath>
        <m:r>
          <m:t>R</m:t>
        </m:r>
        <m:r>
          <m:rPr>
            <m:sty m:val="p"/>
          </m:rPr>
          <m:t>sin</m:t>
        </m:r>
        <m:r>
          <m:t>θ</m:t>
        </m:r>
      </m:oMath>
      <w:r>
        <w:t xml:space="preserve">. Dermed er</w:t>
      </w:r>
    </w:p>
    <w:p>
      <w:pPr>
        <w:pStyle w:val="BodyText"/>
      </w:pPr>
      <m:oMathPara>
        <m:oMathParaPr>
          <m:jc m:val="center"/>
        </m:oMathParaPr>
        <m:oMath>
          <m:r>
            <m:rPr>
              <m:sty m:val="b"/>
            </m:rPr>
            <m:t>a</m:t>
          </m:r>
          <m:r>
            <m:rPr>
              <m:sty m:val="p"/>
            </m:rPr>
            <m:t>⋅</m:t>
          </m:r>
          <m:r>
            <m:t>I</m:t>
          </m:r>
          <m:r>
            <m:t> </m:t>
          </m:r>
          <m:r>
            <m:rPr>
              <m:sty m:val="b"/>
            </m:rPr>
            <m:t>a</m:t>
          </m:r>
          <m:r>
            <m:rPr>
              <m:sty m:val="p"/>
            </m:rPr>
            <m:t>=</m:t>
          </m:r>
          <m:sSup>
            <m:e>
              <m:r>
                <m:t>R</m:t>
              </m:r>
            </m:e>
            <m:sup>
              <m:r>
                <m:t>2</m:t>
              </m:r>
            </m:sup>
          </m:sSup>
          <m:r>
            <m:t>f</m:t>
          </m:r>
          <m:d>
            <m:dPr>
              <m:begChr m:val="("/>
              <m:endChr m:val=")"/>
              <m:sepChr m:val=""/>
              <m:grow/>
            </m:dPr>
            <m:e>
              <m:r>
                <m:t>θ</m:t>
              </m:r>
            </m:e>
          </m:d>
          <m:r>
            <m:rPr>
              <m:sty m:val="p"/>
            </m:rPr>
            <m:t>,</m:t>
          </m:r>
          <m:r>
            <m:t>  </m:t>
          </m:r>
          <m:r>
            <m:t>f</m:t>
          </m:r>
          <m:d>
            <m:dPr>
              <m:begChr m:val="("/>
              <m:endChr m:val=")"/>
              <m:sepChr m:val=""/>
              <m:grow/>
            </m:dPr>
            <m:e>
              <m:r>
                <m:t>θ</m:t>
              </m:r>
            </m:e>
          </m:d>
          <m:r>
            <m:rPr>
              <m:sty m:val="p"/>
            </m:rPr>
            <m:t>=</m:t>
          </m:r>
          <m:sSub>
            <m:e>
              <m:r>
                <m:t>I</m:t>
              </m:r>
            </m:e>
            <m:sub>
              <m:r>
                <m:t>1</m:t>
              </m:r>
            </m:sub>
          </m:sSub>
          <m:sSup>
            <m:e>
              <m:r>
                <m:rPr>
                  <m:sty m:val="p"/>
                </m:rPr>
                <m:t>sin</m:t>
              </m:r>
            </m:e>
            <m:sup>
              <m:r>
                <m:t>2</m:t>
              </m:r>
            </m:sup>
          </m:sSup>
          <m:r>
            <m:t>θ</m:t>
          </m:r>
          <m:r>
            <m:rPr>
              <m:sty m:val="p"/>
            </m:rPr>
            <m:t>+</m:t>
          </m:r>
          <m:sSub>
            <m:e>
              <m:r>
                <m:t>I</m:t>
              </m:r>
            </m:e>
            <m:sub>
              <m:r>
                <m:t>3</m:t>
              </m:r>
            </m:sub>
          </m:sSub>
          <m:sSup>
            <m:e>
              <m:d>
                <m:dPr>
                  <m:begChr m:val="("/>
                  <m:endChr m:val=")"/>
                  <m:sepChr m:val=""/>
                  <m:grow/>
                </m:dPr>
                <m:e>
                  <m:r>
                    <m:t>α</m:t>
                  </m:r>
                  <m:r>
                    <m:rPr>
                      <m:sty m:val="p"/>
                    </m:rPr>
                    <m:t>−</m:t>
                  </m:r>
                  <m:r>
                    <m:rPr>
                      <m:sty m:val="p"/>
                    </m:rPr>
                    <m:t>cos</m:t>
                  </m:r>
                  <m:r>
                    <m:t>θ</m:t>
                  </m:r>
                </m:e>
              </m:d>
            </m:e>
            <m:sup>
              <m:r>
                <m:t>2</m:t>
              </m:r>
            </m:sup>
          </m:sSup>
          <m:r>
            <m:rPr>
              <m:sty m:val="p"/>
            </m:rPr>
            <m:t>.</m:t>
          </m:r>
        </m:oMath>
      </m:oMathPara>
    </w:p>
    <w:p>
      <w:pPr>
        <w:pStyle w:val="FirstParagraph"/>
      </w:pPr>
      <w:r>
        <w:t xml:space="preserve">Lav energi svarer til stor</w:t>
      </w:r>
      <w:r>
        <w:t xml:space="preserve"> </w:t>
      </w:r>
      <m:oMath>
        <m:r>
          <m:t>f</m:t>
        </m:r>
      </m:oMath>
      <w:r>
        <w:t xml:space="preserve">. Differentiation giver</w:t>
      </w:r>
    </w:p>
    <w:p>
      <w:pPr>
        <w:pStyle w:val="BodyText"/>
      </w:pPr>
      <m:oMathPara>
        <m:oMathParaPr>
          <m:jc m:val="center"/>
        </m:oMathParaPr>
        <m:oMath>
          <m:r>
            <m:t>f</m:t>
          </m:r>
          <m:r>
            <m:rPr>
              <m:sty m:val="p"/>
            </m:rPr>
            <m:t>′</m:t>
          </m:r>
          <m:d>
            <m:dPr>
              <m:begChr m:val="("/>
              <m:endChr m:val=")"/>
              <m:sepChr m:val=""/>
              <m:grow/>
            </m:dPr>
            <m:e>
              <m:r>
                <m:t>θ</m:t>
              </m:r>
            </m:e>
          </m:d>
          <m:r>
            <m:rPr>
              <m:sty m:val="p"/>
            </m:rPr>
            <m:t>=</m:t>
          </m:r>
          <m:r>
            <m:t>2</m:t>
          </m:r>
          <m:r>
            <m:rPr>
              <m:sty m:val="p"/>
            </m:rPr>
            <m:t>sin</m:t>
          </m:r>
          <m:r>
            <m:t>θ</m:t>
          </m:r>
          <m:r>
            <m:t> </m:t>
          </m:r>
          <m:d>
            <m:dPr>
              <m:begChr m:val="["/>
              <m:endChr m:val="]"/>
              <m:sepChr m:val=""/>
              <m:grow/>
            </m:dPr>
            <m:e>
              <m:d>
                <m:dPr>
                  <m:begChr m:val="("/>
                  <m:endChr m:val=")"/>
                  <m:sepChr m:val=""/>
                  <m:grow/>
                </m:dPr>
                <m:e>
                  <m:sSub>
                    <m:e>
                      <m:r>
                        <m:t>I</m:t>
                      </m:r>
                    </m:e>
                    <m:sub>
                      <m:r>
                        <m:t>1</m:t>
                      </m:r>
                    </m:sub>
                  </m:sSub>
                  <m:r>
                    <m:rPr>
                      <m:sty m:val="p"/>
                    </m:rPr>
                    <m:t>−</m:t>
                  </m:r>
                  <m:sSub>
                    <m:e>
                      <m:r>
                        <m:t>I</m:t>
                      </m:r>
                    </m:e>
                    <m:sub>
                      <m:r>
                        <m:t>3</m:t>
                      </m:r>
                    </m:sub>
                  </m:sSub>
                </m:e>
              </m:d>
              <m:r>
                <m:rPr>
                  <m:sty m:val="p"/>
                </m:rPr>
                <m:t>cos</m:t>
              </m:r>
              <m:r>
                <m:t>θ</m:t>
              </m:r>
              <m:r>
                <m:rPr>
                  <m:sty m:val="p"/>
                </m:rPr>
                <m:t>+</m:t>
              </m:r>
              <m:r>
                <m:t>α</m:t>
              </m:r>
              <m:r>
                <m:t> </m:t>
              </m:r>
              <m:sSub>
                <m:e>
                  <m:r>
                    <m:t>I</m:t>
                  </m:r>
                </m:e>
                <m:sub>
                  <m:r>
                    <m:t>3</m:t>
                  </m:r>
                </m:sub>
              </m:sSub>
            </m:e>
          </m:d>
          <m:r>
            <m:rPr>
              <m:sty m:val="p"/>
            </m:rPr>
            <m:t>.</m:t>
          </m:r>
        </m:oMath>
      </m:oMathPara>
    </w:p>
    <w:p>
      <w:pPr>
        <w:pStyle w:val="FirstParagraph"/>
      </w:pPr>
      <w:r>
        <w:t xml:space="preserve">Faktoren</w:t>
      </w:r>
      <w:r>
        <w:t xml:space="preserve"> </w:t>
      </w:r>
      <m:oMath>
        <m:r>
          <m:rPr>
            <m:sty m:val="p"/>
          </m:rPr>
          <m:t>sin</m:t>
        </m:r>
        <m:r>
          <m:t>θ</m:t>
        </m:r>
      </m:oMath>
      <w:r>
        <w:t xml:space="preserve"> </w:t>
      </w:r>
      <w:r>
        <w:t xml:space="preserve">viser, at</w:t>
      </w:r>
      <w:r>
        <w:t xml:space="preserve"> </w:t>
      </w:r>
      <m:oMath>
        <m:r>
          <m:t>θ</m:t>
        </m:r>
        <m:r>
          <m:rPr>
            <m:sty m:val="p"/>
          </m:rPr>
          <m:t>=</m:t>
        </m:r>
        <m:r>
          <m:t>0</m:t>
        </m:r>
      </m:oMath>
      <w:r>
        <w:t xml:space="preserve"> </w:t>
      </w:r>
      <w:r>
        <w:t xml:space="preserve">og</w:t>
      </w:r>
      <w:r>
        <w:t xml:space="preserve"> </w:t>
      </w:r>
      <m:oMath>
        <m:r>
          <m:t>θ</m:t>
        </m:r>
        <m:r>
          <m:rPr>
            <m:sty m:val="p"/>
          </m:rPr>
          <m:t>=</m:t>
        </m:r>
        <m:r>
          <m:t>π</m:t>
        </m:r>
      </m:oMath>
      <w:r>
        <w:t xml:space="preserve"> </w:t>
      </w:r>
      <w:r>
        <w:t xml:space="preserve">altid er stationære punkter. Deres karakter bestemmes af fortegnet af den kantede parentes:</w:t>
      </w:r>
    </w:p>
    <w:p>
      <w:pPr>
        <w:numPr>
          <w:ilvl w:val="0"/>
          <w:numId w:val="1001"/>
        </w:numPr>
        <w:pStyle w:val="Compact"/>
      </w:pPr>
      <w:r>
        <w:rPr>
          <w:bCs/>
          <w:b/>
        </w:rPr>
        <w:t xml:space="preserve">Oprejst (</w:t>
      </w:r>
      <m:oMath>
        <m:r>
          <m:t>θ</m:t>
        </m:r>
        <m:r>
          <m:rPr>
            <m:sty m:val="p"/>
          </m:rPr>
          <m:t>=</m:t>
        </m:r>
        <m:r>
          <m:t>0</m:t>
        </m:r>
      </m:oMath>
      <w:r>
        <w:rPr>
          <w:bCs/>
          <w:b/>
        </w:rPr>
        <w:t xml:space="preserve">):</w:t>
      </w:r>
      <w:r>
        <w:t xml:space="preserve"> </w:t>
      </w:r>
      <w:r>
        <w:t xml:space="preserve">nær</w:t>
      </w:r>
      <w:r>
        <w:t xml:space="preserve"> </w:t>
      </w:r>
      <m:oMath>
        <m:r>
          <m:t>θ</m:t>
        </m:r>
        <m:r>
          <m:rPr>
            <m:sty m:val="p"/>
          </m:rPr>
          <m:t>=</m:t>
        </m:r>
        <m:r>
          <m:t>0</m:t>
        </m:r>
      </m:oMath>
      <w:r>
        <w:t xml:space="preserve"> </w:t>
      </w:r>
      <w:r>
        <w:t xml:space="preserve">er</w:t>
      </w:r>
      <w:r>
        <w:t xml:space="preserve"> </w:t>
      </w:r>
      <m:oMath>
        <m:r>
          <m:t>f</m:t>
        </m:r>
        <m:r>
          <m:rPr>
            <m:sty m:val="p"/>
          </m:rPr>
          <m:t>′</m:t>
        </m:r>
        <m:d>
          <m:dPr>
            <m:begChr m:val="("/>
            <m:endChr m:val=")"/>
            <m:sepChr m:val=""/>
            <m:grow/>
          </m:dPr>
          <m:e>
            <m:r>
              <m:t>θ</m:t>
            </m:r>
          </m:e>
        </m:d>
        <m:r>
          <m:rPr>
            <m:sty m:val="p"/>
          </m:rPr>
          <m:t>≈</m:t>
        </m:r>
        <m:r>
          <m:t>2</m:t>
        </m:r>
        <m:r>
          <m:t>θ</m:t>
        </m:r>
        <m:r>
          <m:t> </m:t>
        </m:r>
        <m:d>
          <m:dPr>
            <m:begChr m:val="["/>
            <m:endChr m:val="]"/>
            <m:sepChr m:val=""/>
            <m:grow/>
          </m:dPr>
          <m:e>
            <m:sSub>
              <m:e>
                <m:r>
                  <m:t>I</m:t>
                </m:r>
              </m:e>
              <m:sub>
                <m:r>
                  <m:t>1</m:t>
                </m:r>
              </m:sub>
            </m:sSub>
            <m:r>
              <m:rPr>
                <m:sty m:val="p"/>
              </m:rPr>
              <m:t>−</m:t>
            </m:r>
            <m:sSub>
              <m:e>
                <m:r>
                  <m:t>I</m:t>
                </m:r>
              </m:e>
              <m:sub>
                <m:r>
                  <m:t>3</m:t>
                </m:r>
              </m:sub>
            </m:sSub>
            <m:r>
              <m:rPr>
                <m:sty m:val="p"/>
              </m:rPr>
              <m:t>+</m:t>
            </m:r>
            <m:r>
              <m:t>α</m:t>
            </m:r>
            <m:sSub>
              <m:e>
                <m:r>
                  <m:t>I</m:t>
                </m:r>
              </m:e>
              <m:sub>
                <m:r>
                  <m:t>3</m:t>
                </m:r>
              </m:sub>
            </m:sSub>
          </m:e>
        </m:d>
      </m:oMath>
      <w:r>
        <w:t xml:space="preserve">. Er parentesen negativ, har</w:t>
      </w:r>
      <w:r>
        <w:t xml:space="preserve"> </w:t>
      </w:r>
      <m:oMath>
        <m:r>
          <m:t>f</m:t>
        </m:r>
      </m:oMath>
      <w:r>
        <w:t xml:space="preserve"> </w:t>
      </w:r>
      <w:r>
        <w:t xml:space="preserve">et maksimum, og energien et minimum. Den oprejste tilstand er altså stabil, netop når</w:t>
      </w:r>
      <w:r>
        <w:t xml:space="preserve"> </w:t>
      </w:r>
      <m:oMath>
        <m:sSub>
          <m:e>
            <m:r>
              <m:t>I</m:t>
            </m:r>
          </m:e>
          <m:sub>
            <m:r>
              <m:t>1</m:t>
            </m:r>
          </m:sub>
        </m:sSub>
        <m:r>
          <m:rPr>
            <m:sty m:val="p"/>
          </m:rPr>
          <m:t>/</m:t>
        </m:r>
        <m:sSub>
          <m:e>
            <m:r>
              <m:t>I</m:t>
            </m:r>
          </m:e>
          <m:sub>
            <m:r>
              <m:t>3</m:t>
            </m:r>
          </m:sub>
        </m:sSub>
        <m:r>
          <m:rPr>
            <m:sty m:val="p"/>
          </m:rPr>
          <m:t>&lt;</m:t>
        </m:r>
        <m:r>
          <m:t>1</m:t>
        </m:r>
        <m:r>
          <m:rPr>
            <m:sty m:val="p"/>
          </m:rPr>
          <m:t>−</m:t>
        </m:r>
        <m:r>
          <m:t>α</m:t>
        </m:r>
      </m:oMath>
      <w:r>
        <w:t xml:space="preserve">.</w:t>
      </w:r>
    </w:p>
    <w:p>
      <w:pPr>
        <w:numPr>
          <w:ilvl w:val="0"/>
          <w:numId w:val="1001"/>
        </w:numPr>
        <w:pStyle w:val="Compact"/>
      </w:pPr>
      <w:r>
        <w:rPr>
          <w:bCs/>
          <w:b/>
        </w:rPr>
        <w:t xml:space="preserve">Vendt (</w:t>
      </w:r>
      <m:oMath>
        <m:r>
          <m:t>θ</m:t>
        </m:r>
        <m:r>
          <m:rPr>
            <m:sty m:val="p"/>
          </m:rPr>
          <m:t>=</m:t>
        </m:r>
        <m:r>
          <m:t>π</m:t>
        </m:r>
      </m:oMath>
      <w:r>
        <w:rPr>
          <w:bCs/>
          <w:b/>
        </w:rPr>
        <w:t xml:space="preserve">):</w:t>
      </w:r>
      <w:r>
        <w:t xml:space="preserve"> </w:t>
      </w:r>
      <w:r>
        <w:t xml:space="preserve">nær</w:t>
      </w:r>
      <w:r>
        <w:t xml:space="preserve"> </w:t>
      </w:r>
      <m:oMath>
        <m:r>
          <m:t>θ</m:t>
        </m:r>
        <m:r>
          <m:rPr>
            <m:sty m:val="p"/>
          </m:rPr>
          <m:t>=</m:t>
        </m:r>
        <m:r>
          <m:t>π</m:t>
        </m:r>
      </m:oMath>
      <w:r>
        <w:t xml:space="preserve"> </w:t>
      </w:r>
      <w:r>
        <w:t xml:space="preserve">er</w:t>
      </w:r>
      <w:r>
        <w:t xml:space="preserve"> </w:t>
      </w:r>
      <m:oMath>
        <m:r>
          <m:rPr>
            <m:sty m:val="p"/>
          </m:rPr>
          <m:t>sin</m:t>
        </m:r>
        <m:r>
          <m:t>θ</m:t>
        </m:r>
        <m:r>
          <m:rPr>
            <m:sty m:val="p"/>
          </m:rPr>
          <m:t>&gt;</m:t>
        </m:r>
        <m:r>
          <m:t>0</m:t>
        </m:r>
      </m:oMath>
      <w:r>
        <w:t xml:space="preserve"> </w:t>
      </w:r>
      <w:r>
        <w:t xml:space="preserve">og parentesen lig</w:t>
      </w:r>
      <w:r>
        <w:t xml:space="preserve"> </w:t>
      </w:r>
      <m:oMath>
        <m:sSub>
          <m:e>
            <m:r>
              <m:t>I</m:t>
            </m:r>
          </m:e>
          <m:sub>
            <m:r>
              <m:t>3</m:t>
            </m:r>
          </m:sub>
        </m:sSub>
        <m:r>
          <m:rPr>
            <m:sty m:val="p"/>
          </m:rPr>
          <m:t>−</m:t>
        </m:r>
        <m:sSub>
          <m:e>
            <m:r>
              <m:t>I</m:t>
            </m:r>
          </m:e>
          <m:sub>
            <m:r>
              <m:t>1</m:t>
            </m:r>
          </m:sub>
        </m:sSub>
        <m:r>
          <m:rPr>
            <m:sty m:val="p"/>
          </m:rPr>
          <m:t>+</m:t>
        </m:r>
        <m:r>
          <m:t>α</m:t>
        </m:r>
        <m:sSub>
          <m:e>
            <m:r>
              <m:t>I</m:t>
            </m:r>
          </m:e>
          <m:sub>
            <m:r>
              <m:t>3</m:t>
            </m:r>
          </m:sub>
        </m:sSub>
      </m:oMath>
      <w:r>
        <w:t xml:space="preserve">. Er den positiv, vokser</w:t>
      </w:r>
      <w:r>
        <w:t xml:space="preserve"> </w:t>
      </w:r>
      <m:oMath>
        <m:r>
          <m:t>f</m:t>
        </m:r>
      </m:oMath>
      <w:r>
        <w:t xml:space="preserve"> </w:t>
      </w:r>
      <w:r>
        <w:t xml:space="preserve">helt op til</w:t>
      </w:r>
      <w:r>
        <w:t xml:space="preserve"> </w:t>
      </w:r>
      <m:oMath>
        <m:r>
          <m:t>θ</m:t>
        </m:r>
        <m:r>
          <m:rPr>
            <m:sty m:val="p"/>
          </m:rPr>
          <m:t>=</m:t>
        </m:r>
        <m:r>
          <m:t>π</m:t>
        </m:r>
      </m:oMath>
      <w:r>
        <w:t xml:space="preserve">, som da er et energiminimum. Den vendte tilstand er altså stabil, netop når</w:t>
      </w:r>
      <w:r>
        <w:t xml:space="preserve"> </w:t>
      </w:r>
      <m:oMath>
        <m:sSub>
          <m:e>
            <m:r>
              <m:t>I</m:t>
            </m:r>
          </m:e>
          <m:sub>
            <m:r>
              <m:t>1</m:t>
            </m:r>
          </m:sub>
        </m:sSub>
        <m:r>
          <m:rPr>
            <m:sty m:val="p"/>
          </m:rPr>
          <m:t>/</m:t>
        </m:r>
        <m:sSub>
          <m:e>
            <m:r>
              <m:t>I</m:t>
            </m:r>
          </m:e>
          <m:sub>
            <m:r>
              <m:t>3</m:t>
            </m:r>
          </m:sub>
        </m:sSub>
        <m:r>
          <m:rPr>
            <m:sty m:val="p"/>
          </m:rPr>
          <m:t>&lt;</m:t>
        </m:r>
        <m:r>
          <m:t>1</m:t>
        </m:r>
        <m:r>
          <m:rPr>
            <m:sty m:val="p"/>
          </m:rPr>
          <m:t>+</m:t>
        </m:r>
        <m:r>
          <m:t>α</m:t>
        </m:r>
      </m:oMath>
      <w:r>
        <w:t xml:space="preserve">.</w:t>
      </w:r>
    </w:p>
    <w:p>
      <w:pPr>
        <w:pStyle w:val="FirstParagraph"/>
      </w:pPr>
      <w:r>
        <w:t xml:space="preserve">Toppen vender sig derfor, når den oprejste tilstand er ustabil og den vendte stabil:</w:t>
      </w:r>
    </w:p>
    <w:p>
      <w:pPr>
        <w:pStyle w:val="BodyText"/>
      </w:pPr>
      <m:oMathPara>
        <m:oMathParaPr>
          <m:jc m:val="center"/>
        </m:oMathParaPr>
        <m:oMath>
          <m:r>
            <m:t>1</m:t>
          </m:r>
          <m:r>
            <m:rPr>
              <m:sty m:val="p"/>
            </m:rPr>
            <m:t>−</m:t>
          </m:r>
          <m:r>
            <m:t>α</m:t>
          </m:r>
          <m:r>
            <m:rPr>
              <m:sty m:val="p"/>
            </m:rPr>
            <m:t>&lt;</m:t>
          </m:r>
          <m:f>
            <m:fPr>
              <m:type m:val="bar"/>
            </m:fPr>
            <m:num>
              <m:sSub>
                <m:e>
                  <m:r>
                    <m:t>I</m:t>
                  </m:r>
                </m:e>
                <m:sub>
                  <m:r>
                    <m:t>1</m:t>
                  </m:r>
                </m:sub>
              </m:sSub>
            </m:num>
            <m:den>
              <m:sSub>
                <m:e>
                  <m:r>
                    <m:t>I</m:t>
                  </m:r>
                </m:e>
                <m:sub>
                  <m:r>
                    <m:t>3</m:t>
                  </m:r>
                </m:sub>
              </m:sSub>
            </m:den>
          </m:f>
          <m:r>
            <m:rPr>
              <m:sty m:val="p"/>
            </m:rPr>
            <m:t>&lt;</m:t>
          </m:r>
          <m:r>
            <m:t>1</m:t>
          </m:r>
          <m:r>
            <m:rPr>
              <m:sty m:val="p"/>
            </m:rPr>
            <m:t>+</m:t>
          </m:r>
          <m:r>
            <m:t>α</m:t>
          </m:r>
          <m:r>
            <m:rPr>
              <m:sty m:val="p"/>
            </m:rPr>
            <m:t>.</m:t>
          </m:r>
        </m:oMath>
      </m:oMathPara>
    </w:p>
    <w:p>
      <w:pPr>
        <w:pStyle w:val="FirstParagraph"/>
      </w:pPr>
      <w:r>
        <w:t xml:space="preserve">For</w:t>
      </w:r>
      <w:r>
        <w:t xml:space="preserve"> </w:t>
      </w:r>
      <m:oMath>
        <m:sSub>
          <m:e>
            <m:r>
              <m:t>I</m:t>
            </m:r>
          </m:e>
          <m:sub>
            <m:r>
              <m:t>1</m:t>
            </m:r>
          </m:sub>
        </m:sSub>
        <m:r>
          <m:rPr>
            <m:sty m:val="p"/>
          </m:rPr>
          <m:t>/</m:t>
        </m:r>
        <m:sSub>
          <m:e>
            <m:r>
              <m:t>I</m:t>
            </m:r>
          </m:e>
          <m:sub>
            <m:r>
              <m:t>3</m:t>
            </m:r>
          </m:sub>
        </m:sSub>
        <m:r>
          <m:rPr>
            <m:sty m:val="p"/>
          </m:rPr>
          <m:t>&gt;</m:t>
        </m:r>
        <m:r>
          <m:t>1</m:t>
        </m:r>
        <m:r>
          <m:rPr>
            <m:sty m:val="p"/>
          </m:rPr>
          <m:t>+</m:t>
        </m:r>
        <m:r>
          <m:t>α</m:t>
        </m:r>
      </m:oMath>
      <w:r>
        <w:t xml:space="preserve"> </w:t>
      </w:r>
      <w:r>
        <w:t xml:space="preserve">er ingen af endetilstandene stabile. Parentesen har da et nulpunkt ved</w:t>
      </w:r>
      <w:r>
        <w:t xml:space="preserve"> </w:t>
      </w:r>
      <m:oMath>
        <m:r>
          <m:rPr>
            <m:sty m:val="p"/>
          </m:rPr>
          <m:t>cos</m:t>
        </m:r>
        <m:sSup>
          <m:e>
            <m:r>
              <m:t>θ</m:t>
            </m:r>
          </m:e>
          <m:sup>
            <m:r>
              <m:rPr>
                <m:sty m:val="p"/>
              </m:rPr>
              <m:t>*</m:t>
            </m:r>
          </m:sup>
        </m:sSup>
        <m:r>
          <m:rPr>
            <m:sty m:val="p"/>
          </m:rPr>
          <m:t>=</m:t>
        </m:r>
        <m:r>
          <m:t>α</m:t>
        </m:r>
        <m:sSub>
          <m:e>
            <m:r>
              <m:t>I</m:t>
            </m:r>
          </m:e>
          <m:sub>
            <m:r>
              <m:t>3</m:t>
            </m:r>
          </m:sub>
        </m:sSub>
        <m:r>
          <m:rPr>
            <m:sty m:val="p"/>
          </m:rPr>
          <m:t>/</m:t>
        </m:r>
        <m:d>
          <m:dPr>
            <m:begChr m:val="("/>
            <m:endChr m:val=")"/>
            <m:sepChr m:val=""/>
            <m:grow/>
          </m:dPr>
          <m:e>
            <m:sSub>
              <m:e>
                <m:r>
                  <m:t>I</m:t>
                </m:r>
              </m:e>
              <m:sub>
                <m:r>
                  <m:t>3</m:t>
                </m:r>
              </m:sub>
            </m:sSub>
            <m:r>
              <m:rPr>
                <m:sty m:val="p"/>
              </m:rPr>
              <m:t>−</m:t>
            </m:r>
            <m:sSub>
              <m:e>
                <m:r>
                  <m:t>I</m:t>
                </m:r>
              </m:e>
              <m:sub>
                <m:r>
                  <m:t>1</m:t>
                </m:r>
              </m:sub>
            </m:sSub>
          </m:e>
        </m:d>
      </m:oMath>
      <w:r>
        <w:t xml:space="preserve">, og toppen ender i en skrå, præcesserende tilstand. Figur 3 viser de tre tilfælde.</w:t>
      </w:r>
    </w:p>
    <w:p>
      <w:pPr>
        <w:pStyle w:val="CaptionedFigure"/>
      </w:pPr>
      <w:r>
        <w:drawing>
          <wp:inline>
            <wp:extent cx="4533900" cy="2871470"/>
            <wp:effectExtent b="0" l="0" r="0" t="0"/>
            <wp:docPr descr="Figur 3. Rotationsenergien ved fast J som funktion af hældningen for \alpha = 0{,}3. Punkterne markerer lokale minima. For I_1/I_3 = 0{,}6 er den oprejste tilstand lokalt stabil. For 0{,}9 og 1{,}1 er den ustabil, og toppen vender. For 1{,}4 ender den i en skrå tilstand." title="" id="43" name="Picture"/>
            <a:graphic>
              <a:graphicData uri="http://schemas.openxmlformats.org/drawingml/2006/picture">
                <pic:pic>
                  <pic:nvPicPr>
                    <pic:cNvPr descr="fig3.png" id="44" name="Picture"/>
                    <pic:cNvPicPr>
                      <a:picLocks noChangeArrowheads="1" noChangeAspect="1"/>
                    </pic:cNvPicPr>
                  </pic:nvPicPr>
                  <pic:blipFill>
                    <a:blip r:embed="rId42"/>
                    <a:stretch>
                      <a:fillRect/>
                    </a:stretch>
                  </pic:blipFill>
                  <pic:spPr bwMode="auto">
                    <a:xfrm>
                      <a:off x="0" y="0"/>
                      <a:ext cx="4533900" cy="2871470"/>
                    </a:xfrm>
                    <a:prstGeom prst="rect">
                      <a:avLst/>
                    </a:prstGeom>
                    <a:noFill/>
                    <a:ln w="9525">
                      <a:noFill/>
                      <a:headEnd/>
                      <a:tailEnd/>
                    </a:ln>
                  </pic:spPr>
                </pic:pic>
              </a:graphicData>
            </a:graphic>
          </wp:inline>
        </w:drawing>
      </w:r>
    </w:p>
    <w:p>
      <w:pPr>
        <w:pStyle w:val="ImageCaption"/>
      </w:pPr>
      <w:r>
        <w:t xml:space="preserve">Figur 3. Rotationsenergien ved fast</w:t>
      </w:r>
      <w:r>
        <w:t xml:space="preserve"> </w:t>
      </w:r>
      <m:oMath>
        <m:r>
          <m:t>J</m:t>
        </m:r>
      </m:oMath>
      <w:r>
        <w:t xml:space="preserve"> </w:t>
      </w:r>
      <w:r>
        <w:t xml:space="preserve">som funktion af hældningen for</w:t>
      </w:r>
      <w:r>
        <w:t xml:space="preserve"> </w:t>
      </w:r>
      <m:oMath>
        <m:r>
          <m:t>α</m:t>
        </m:r>
        <m:r>
          <m:rPr>
            <m:sty m:val="p"/>
          </m:rPr>
          <m:t>=</m:t>
        </m:r>
        <m:r>
          <m:t>0</m:t>
        </m:r>
        <m:r>
          <m:rPr>
            <m:sty m:val="p"/>
          </m:rPr>
          <m:t>,</m:t>
        </m:r>
        <m:r>
          <m:t>3</m:t>
        </m:r>
      </m:oMath>
      <w:r>
        <w:t xml:space="preserve">. Punkterne markerer lokale minima. For</w:t>
      </w:r>
      <w:r>
        <w:t xml:space="preserve"> </w:t>
      </w:r>
      <m:oMath>
        <m:sSub>
          <m:e>
            <m:r>
              <m:t>I</m:t>
            </m:r>
          </m:e>
          <m:sub>
            <m:r>
              <m:t>1</m:t>
            </m:r>
          </m:sub>
        </m:sSub>
        <m:r>
          <m:rPr>
            <m:sty m:val="p"/>
          </m:rPr>
          <m:t>/</m:t>
        </m:r>
        <m:sSub>
          <m:e>
            <m:r>
              <m:t>I</m:t>
            </m:r>
          </m:e>
          <m:sub>
            <m:r>
              <m:t>3</m:t>
            </m:r>
          </m:sub>
        </m:sSub>
        <m:r>
          <m:rPr>
            <m:sty m:val="p"/>
          </m:rPr>
          <m:t>=</m:t>
        </m:r>
        <m:r>
          <m:t>0</m:t>
        </m:r>
        <m:r>
          <m:rPr>
            <m:sty m:val="p"/>
          </m:rPr>
          <m:t>,</m:t>
        </m:r>
        <m:r>
          <m:t>6</m:t>
        </m:r>
      </m:oMath>
      <w:r>
        <w:t xml:space="preserve"> </w:t>
      </w:r>
      <w:r>
        <w:t xml:space="preserve">er den oprejste tilstand lokalt stabil. For</w:t>
      </w:r>
      <w:r>
        <w:t xml:space="preserve"> </w:t>
      </w:r>
      <m:oMath>
        <m:r>
          <m:t>0</m:t>
        </m:r>
        <m:r>
          <m:rPr>
            <m:sty m:val="p"/>
          </m:rPr>
          <m:t>,</m:t>
        </m:r>
        <m:r>
          <m:t>9</m:t>
        </m:r>
      </m:oMath>
      <w:r>
        <w:t xml:space="preserve"> </w:t>
      </w:r>
      <w:r>
        <w:t xml:space="preserve">og</w:t>
      </w:r>
      <w:r>
        <w:t xml:space="preserve"> </w:t>
      </w:r>
      <m:oMath>
        <m:r>
          <m:t>1</m:t>
        </m:r>
        <m:r>
          <m:rPr>
            <m:sty m:val="p"/>
          </m:rPr>
          <m:t>,</m:t>
        </m:r>
        <m:r>
          <m:t>1</m:t>
        </m:r>
      </m:oMath>
      <w:r>
        <w:t xml:space="preserve"> </w:t>
      </w:r>
      <w:r>
        <w:t xml:space="preserve">er den ustabil, og toppen vender. For</w:t>
      </w:r>
      <w:r>
        <w:t xml:space="preserve"> </w:t>
      </w:r>
      <m:oMath>
        <m:r>
          <m:t>1</m:t>
        </m:r>
        <m:r>
          <m:rPr>
            <m:sty m:val="p"/>
          </m:rPr>
          <m:t>,</m:t>
        </m:r>
        <m:r>
          <m:t>4</m:t>
        </m:r>
      </m:oMath>
      <w:r>
        <w:t xml:space="preserve"> </w:t>
      </w:r>
      <w:r>
        <w:t xml:space="preserve">ender den i en skrå tilstand.</w:t>
      </w:r>
    </w:p>
    <w:bookmarkEnd w:id="45"/>
    <w:bookmarkStart w:id="46" w:name="det-fysiske-forløb"/>
    <w:p>
      <w:pPr>
        <w:pStyle w:val="Heading2"/>
      </w:pPr>
      <w:r>
        <w:rPr>
          <w:rStyle w:val="SectionNumber"/>
        </w:rPr>
        <w:t xml:space="preserve">3.9</w:t>
      </w:r>
      <w:r>
        <w:tab/>
      </w:r>
      <w:r>
        <w:t xml:space="preserve">Det fysiske forløb</w:t>
      </w:r>
    </w:p>
    <w:p>
      <w:pPr>
        <w:pStyle w:val="FirstParagraph"/>
      </w:pPr>
      <w:r>
        <w:t xml:space="preserve">Samlet ser forløbet sådan ud. En lille forstyrrelse giver en hældning, og kontaktpunktet flyttes væk fra symmetriaksen. Det materielle punkt i</w:t>
      </w:r>
      <w:r>
        <w:t xml:space="preserve"> </w:t>
      </w:r>
      <m:oMath>
        <m:r>
          <m:t>P</m:t>
        </m:r>
      </m:oMath>
      <w:r>
        <w:t xml:space="preserve"> </w:t>
      </w:r>
      <w:r>
        <w:t xml:space="preserve">får da en vandret hastighed og glider mod bordet. Friktionen dissiperer energi, mens</w:t>
      </w:r>
      <w:r>
        <w:t xml:space="preserve"> </w:t>
      </w:r>
      <m:oMath>
        <m:r>
          <m:t>J</m:t>
        </m:r>
      </m:oMath>
      <w:r>
        <w:t xml:space="preserve"> </w:t>
      </w:r>
      <w:r>
        <w:t xml:space="preserve">holdes fast, og systemet bevæger sig derfor ned ad energilandskabet i figur 3, væk fra den ustabile tilstand</w:t>
      </w:r>
      <w:r>
        <w:t xml:space="preserve"> </w:t>
      </w:r>
      <m:oMath>
        <m:r>
          <m:t>θ</m:t>
        </m:r>
        <m:r>
          <m:rPr>
            <m:sty m:val="p"/>
          </m:rPr>
          <m:t>=</m:t>
        </m:r>
        <m:r>
          <m:t>0</m:t>
        </m:r>
      </m:oMath>
      <w:r>
        <w:t xml:space="preserve"> </w:t>
      </w:r>
      <w:r>
        <w:t xml:space="preserve">mod minimummet ved</w:t>
      </w:r>
      <w:r>
        <w:t xml:space="preserve"> </w:t>
      </w:r>
      <m:oMath>
        <m:r>
          <m:t>θ</m:t>
        </m:r>
        <m:r>
          <m:rPr>
            <m:sty m:val="p"/>
          </m:rPr>
          <m:t>=</m:t>
        </m:r>
        <m:r>
          <m:t>π</m:t>
        </m:r>
      </m:oMath>
      <w:r>
        <w:t xml:space="preserve">. Her ophører glidningen, og toppen ruller rent på skaftet med den lavere rotation</w:t>
      </w:r>
      <w:r>
        <w:t xml:space="preserve"> </w:t>
      </w:r>
      <m:oMath>
        <m:sSub>
          <m:e>
            <m:r>
              <m:t>ω</m:t>
            </m:r>
          </m:e>
          <m:sub>
            <m:r>
              <m:t>1</m:t>
            </m:r>
          </m:sub>
        </m:sSub>
      </m:oMath>
      <w:r>
        <w:t xml:space="preserve">.</w:t>
      </w:r>
    </w:p>
    <w:p>
      <w:pPr>
        <w:pStyle w:val="BodyText"/>
      </w:pPr>
      <w:r>
        <w:t xml:space="preserve">At gøre argumentet stringent for den fulde, ikke-lineære dynamik kræver, at</w:t>
      </w:r>
      <w:r>
        <w:t xml:space="preserve"> </w:t>
      </w:r>
      <m:oMath>
        <m:r>
          <m:t>E</m:t>
        </m:r>
      </m:oMath>
      <w:r>
        <w:t xml:space="preserve"> </w:t>
      </w:r>
      <w:r>
        <w:t xml:space="preserve">og</w:t>
      </w:r>
      <w:r>
        <w:t xml:space="preserve"> </w:t>
      </w:r>
      <m:oMath>
        <m:r>
          <m:t>J</m:t>
        </m:r>
      </m:oMath>
      <w:r>
        <w:t xml:space="preserve"> </w:t>
      </w:r>
      <w:r>
        <w:t xml:space="preserve">bruges som Lyapunov-funktioner, kombineret med LaSalles invariansprincip. Det er gjort af blandt andre Ebenfeld &amp; Scheck (1995) og Bou-Rabee, Marsden &amp; Romero (2004), som også behandler tyngdens bidrag og den endelige varighed af vendingen.</w:t>
      </w:r>
    </w:p>
    <w:bookmarkEnd w:id="46"/>
    <w:bookmarkEnd w:id="47"/>
    <w:bookmarkStart w:id="48" w:name="sammenfatning"/>
    <w:p>
      <w:pPr>
        <w:pStyle w:val="Heading1"/>
      </w:pPr>
      <w:r>
        <w:rPr>
          <w:rStyle w:val="SectionNumber"/>
        </w:rPr>
        <w:t xml:space="preserve">4</w:t>
      </w:r>
      <w:r>
        <w:tab/>
      </w:r>
      <w:r>
        <w:t xml:space="preserve">Sammenfatning</w:t>
      </w:r>
    </w:p>
    <w:tbl>
      <w:tblPr>
        <w:tblStyle w:val="Table"/>
        <w:tblW w:type="pct" w:w="5000"/>
        <w:tblLook w:firstRow="1" w:lastRow="0" w:firstColumn="0" w:lastColumn="0" w:noHBand="0" w:noVBand="0" w:val="0020"/>
        <w:jc w:val="start"/>
      </w:tblPr>
      <w:tblGrid>
        <w:gridCol w:w="1863"/>
        <w:gridCol w:w="2562"/>
        <w:gridCol w:w="3494"/>
      </w:tblGrid>
      <w:tr>
        <w:trPr>
          <w:tblHeader w:val="true"/>
        </w:trPr>
        <w:tc>
          <w:tcPr/>
          <w:p>
            <w:pPr>
              <w:pStyle w:val="Compact"/>
            </w:pPr>
          </w:p>
        </w:tc>
        <w:tc>
          <w:tcPr/>
          <w:p>
            <w:pPr>
              <w:pStyle w:val="Compact"/>
              <w:jc w:val="left"/>
            </w:pPr>
            <w:r>
              <w:t xml:space="preserve">Gyroskop</w:t>
            </w:r>
          </w:p>
        </w:tc>
        <w:tc>
          <w:tcPr/>
          <w:p>
            <w:pPr>
              <w:pStyle w:val="Compact"/>
              <w:jc w:val="left"/>
            </w:pPr>
            <w:r>
              <w:t xml:space="preserve">Tippetop</w:t>
            </w:r>
          </w:p>
        </w:tc>
      </w:tr>
      <w:tr>
        <w:tc>
          <w:tcPr/>
          <w:p>
            <w:pPr>
              <w:pStyle w:val="Compact"/>
              <w:jc w:val="left"/>
            </w:pPr>
            <w:r>
              <w:t xml:space="preserve">Drivende faktor</w:t>
            </w:r>
          </w:p>
        </w:tc>
        <w:tc>
          <w:tcPr/>
          <w:p>
            <w:pPr>
              <w:pStyle w:val="Compact"/>
              <w:jc w:val="left"/>
            </w:pPr>
            <w:r>
              <w:t xml:space="preserve">Tyngdens moment</w:t>
            </w:r>
          </w:p>
        </w:tc>
        <w:tc>
          <w:tcPr/>
          <w:p>
            <w:pPr>
              <w:pStyle w:val="Compact"/>
              <w:jc w:val="left"/>
            </w:pPr>
            <w:r>
              <w:t xml:space="preserve">Glidende friktion</w:t>
            </w:r>
          </w:p>
        </w:tc>
      </w:tr>
      <w:tr>
        <w:tc>
          <w:tcPr/>
          <w:p>
            <w:pPr>
              <w:pStyle w:val="Compact"/>
              <w:jc w:val="left"/>
            </w:pPr>
            <w:r>
              <w:t xml:space="preserve">Bevaret</w:t>
            </w:r>
          </w:p>
        </w:tc>
        <w:tc>
          <w:tcPr/>
          <w:p>
            <w:pPr>
              <w:pStyle w:val="Compact"/>
              <w:jc w:val="left"/>
            </w:pPr>
            <m:oMath>
              <m:r>
                <m:t>E</m:t>
              </m:r>
            </m:oMath>
            <w:r>
              <w:t xml:space="preserve">,</w:t>
            </w:r>
            <w:r>
              <w:t xml:space="preserve"> </w:t>
            </w:r>
            <m:oMath>
              <m:sSub>
                <m:e>
                  <m:r>
                    <m:t>L</m:t>
                  </m:r>
                </m:e>
                <m:sub>
                  <m:r>
                    <m:t>3</m:t>
                  </m:r>
                </m:sub>
              </m:sSub>
            </m:oMath>
            <w:r>
              <w:t xml:space="preserve">,</w:t>
            </w:r>
            <w:r>
              <w:t xml:space="preserve"> </w:t>
            </w:r>
            <m:oMath>
              <m:sSub>
                <m:e>
                  <m:r>
                    <m:t>L</m:t>
                  </m:r>
                </m:e>
                <m:sub>
                  <m:r>
                    <m:t>z</m:t>
                  </m:r>
                </m:sub>
              </m:sSub>
            </m:oMath>
          </w:p>
        </w:tc>
        <w:tc>
          <w:tcPr/>
          <w:p>
            <w:pPr>
              <w:pStyle w:val="Compact"/>
              <w:jc w:val="left"/>
            </w:pPr>
            <m:oMath>
              <m:r>
                <m:t>J</m:t>
              </m:r>
              <m:r>
                <m:rPr>
                  <m:sty m:val="p"/>
                </m:rPr>
                <m:t>=</m:t>
              </m:r>
              <m:r>
                <m:t>R</m:t>
              </m:r>
              <m:d>
                <m:dPr>
                  <m:begChr m:val="("/>
                  <m:endChr m:val=")"/>
                  <m:sepChr m:val=""/>
                  <m:grow/>
                </m:dPr>
                <m:e>
                  <m:r>
                    <m:t>α</m:t>
                  </m:r>
                  <m:sSub>
                    <m:e>
                      <m:r>
                        <m:t>L</m:t>
                      </m:r>
                    </m:e>
                    <m:sub>
                      <m:r>
                        <m:t>3</m:t>
                      </m:r>
                    </m:sub>
                  </m:sSub>
                  <m:r>
                    <m:rPr>
                      <m:sty m:val="p"/>
                    </m:rPr>
                    <m:t>−</m:t>
                  </m:r>
                  <m:sSub>
                    <m:e>
                      <m:r>
                        <m:t>L</m:t>
                      </m:r>
                    </m:e>
                    <m:sub>
                      <m:r>
                        <m:t>z</m:t>
                      </m:r>
                    </m:sub>
                  </m:sSub>
                </m:e>
              </m:d>
            </m:oMath>
          </w:p>
        </w:tc>
      </w:tr>
      <w:tr>
        <w:tc>
          <w:tcPr/>
          <w:p>
            <w:pPr>
              <w:pStyle w:val="Compact"/>
              <w:jc w:val="left"/>
            </w:pPr>
            <w:r>
              <w:t xml:space="preserve">Ikke bevaret</w:t>
            </w:r>
          </w:p>
        </w:tc>
        <w:tc>
          <w:tcPr/>
          <w:p>
            <w:pPr>
              <w:pStyle w:val="Compact"/>
              <w:jc w:val="left"/>
            </w:pPr>
            <w:r>
              <w:t xml:space="preserve">–</w:t>
            </w:r>
          </w:p>
        </w:tc>
        <w:tc>
          <w:tcPr/>
          <w:p>
            <w:pPr>
              <w:pStyle w:val="Compact"/>
              <w:jc w:val="left"/>
            </w:pPr>
            <m:oMath>
              <m:r>
                <m:t>E</m:t>
              </m:r>
            </m:oMath>
            <w:r>
              <w:t xml:space="preserve">,</w:t>
            </w:r>
            <w:r>
              <w:t xml:space="preserve"> </w:t>
            </w:r>
            <m:oMath>
              <m:sSub>
                <m:e>
                  <m:r>
                    <m:t>L</m:t>
                  </m:r>
                </m:e>
                <m:sub>
                  <m:r>
                    <m:t>3</m:t>
                  </m:r>
                </m:sub>
              </m:sSub>
            </m:oMath>
            <w:r>
              <w:t xml:space="preserve">,</w:t>
            </w:r>
            <w:r>
              <w:t xml:space="preserve"> </w:t>
            </w:r>
            <m:oMath>
              <m:sSub>
                <m:e>
                  <m:r>
                    <m:t>L</m:t>
                  </m:r>
                </m:e>
                <m:sub>
                  <m:r>
                    <m:t>z</m:t>
                  </m:r>
                </m:sub>
              </m:sSub>
            </m:oMath>
            <w:r>
              <w:t xml:space="preserve"> </w:t>
            </w:r>
            <w:r>
              <w:t xml:space="preserve">enkeltvis</w:t>
            </w:r>
          </w:p>
        </w:tc>
      </w:tr>
      <w:tr>
        <w:tc>
          <w:tcPr/>
          <w:p>
            <w:pPr>
              <w:pStyle w:val="Compact"/>
              <w:jc w:val="left"/>
            </w:pPr>
            <w:r>
              <w:t xml:space="preserve">Nøgleresultat</w:t>
            </w:r>
          </w:p>
        </w:tc>
        <w:tc>
          <w:tcPr/>
          <w:p>
            <w:pPr>
              <w:pStyle w:val="Compact"/>
              <w:jc w:val="left"/>
            </w:pPr>
            <m:oMath>
              <m:r>
                <m:t>Ω</m:t>
              </m:r>
              <m:r>
                <m:rPr>
                  <m:sty m:val="p"/>
                </m:rPr>
                <m:t>=</m:t>
              </m:r>
              <m:r>
                <m:t>M</m:t>
              </m:r>
              <m:r>
                <m:t>g</m:t>
              </m:r>
              <m:r>
                <m:t>l</m:t>
              </m:r>
              <m:r>
                <m:rPr>
                  <m:sty m:val="p"/>
                </m:rPr>
                <m:t>/</m:t>
              </m:r>
              <m:d>
                <m:dPr>
                  <m:begChr m:val="("/>
                  <m:endChr m:val=")"/>
                  <m:sepChr m:val=""/>
                  <m:grow/>
                </m:dPr>
                <m:e>
                  <m:sSub>
                    <m:e>
                      <m:r>
                        <m:t>I</m:t>
                      </m:r>
                    </m:e>
                    <m:sub>
                      <m:r>
                        <m:t>3</m:t>
                      </m:r>
                    </m:sub>
                  </m:sSub>
                  <m:sSub>
                    <m:e>
                      <m:r>
                        <m:t>ω</m:t>
                      </m:r>
                    </m:e>
                    <m:sub>
                      <m:r>
                        <m:t>3</m:t>
                      </m:r>
                    </m:sub>
                  </m:sSub>
                </m:e>
              </m:d>
            </m:oMath>
          </w:p>
        </w:tc>
        <w:tc>
          <w:tcPr/>
          <w:p>
            <w:pPr>
              <w:pStyle w:val="Compact"/>
              <w:jc w:val="left"/>
            </w:pPr>
            <m:oMath>
              <m:sSub>
                <m:e>
                  <m:r>
                    <m:t>ω</m:t>
                  </m:r>
                </m:e>
                <m:sub>
                  <m:r>
                    <m:t>1</m:t>
                  </m:r>
                </m:sub>
              </m:sSub>
              <m:r>
                <m:rPr>
                  <m:sty m:val="p"/>
                </m:rPr>
                <m:t>=</m:t>
              </m:r>
              <m:sSub>
                <m:e>
                  <m:r>
                    <m:t>ω</m:t>
                  </m:r>
                </m:e>
                <m:sub>
                  <m:r>
                    <m:t>0</m:t>
                  </m:r>
                </m:sub>
              </m:sSub>
              <m:d>
                <m:dPr>
                  <m:begChr m:val="("/>
                  <m:endChr m:val=")"/>
                  <m:sepChr m:val=""/>
                  <m:grow/>
                </m:dPr>
                <m:e>
                  <m:r>
                    <m:t>1</m:t>
                  </m:r>
                  <m:r>
                    <m:rPr>
                      <m:sty m:val="p"/>
                    </m:rPr>
                    <m:t>−</m:t>
                  </m:r>
                  <m:r>
                    <m:t>α</m:t>
                  </m:r>
                </m:e>
              </m:d>
              <m:r>
                <m:rPr>
                  <m:sty m:val="p"/>
                </m:rPr>
                <m:t>/</m:t>
              </m:r>
              <m:d>
                <m:dPr>
                  <m:begChr m:val="("/>
                  <m:endChr m:val=")"/>
                  <m:sepChr m:val=""/>
                  <m:grow/>
                </m:dPr>
                <m:e>
                  <m:r>
                    <m:t>1</m:t>
                  </m:r>
                  <m:r>
                    <m:rPr>
                      <m:sty m:val="p"/>
                    </m:rPr>
                    <m:t>+</m:t>
                  </m:r>
                  <m:r>
                    <m:t>α</m:t>
                  </m:r>
                </m:e>
              </m:d>
            </m:oMath>
          </w:p>
        </w:tc>
      </w:tr>
      <w:tr>
        <w:tc>
          <w:tcPr/>
          <w:p>
            <w:pPr>
              <w:pStyle w:val="Compact"/>
              <w:jc w:val="left"/>
            </w:pPr>
            <w:r>
              <w:t xml:space="preserve">Betingelse</w:t>
            </w:r>
          </w:p>
        </w:tc>
        <w:tc>
          <w:tcPr/>
          <w:p>
            <w:pPr>
              <w:pStyle w:val="Compact"/>
              <w:jc w:val="left"/>
            </w:pPr>
            <m:oMath>
              <m:sSubSup>
                <m:e>
                  <m:r>
                    <m:t>ω</m:t>
                  </m:r>
                </m:e>
                <m:sub>
                  <m:r>
                    <m:t>3</m:t>
                  </m:r>
                </m:sub>
                <m:sup>
                  <m:r>
                    <m:t>2</m:t>
                  </m:r>
                </m:sup>
              </m:sSubSup>
              <m:r>
                <m:rPr>
                  <m:sty m:val="p"/>
                </m:rPr>
                <m:t>&gt;</m:t>
              </m:r>
              <m:r>
                <m:t>4</m:t>
              </m:r>
              <m:sSub>
                <m:e>
                  <m:r>
                    <m:t>I</m:t>
                  </m:r>
                </m:e>
                <m:sub>
                  <m:r>
                    <m:t>1</m:t>
                  </m:r>
                </m:sub>
              </m:sSub>
              <m:r>
                <m:t>M</m:t>
              </m:r>
              <m:r>
                <m:t>g</m:t>
              </m:r>
              <m:r>
                <m:t>l</m:t>
              </m:r>
              <m:r>
                <m:rPr>
                  <m:sty m:val="p"/>
                </m:rPr>
                <m:t>/</m:t>
              </m:r>
              <m:sSubSup>
                <m:e>
                  <m:r>
                    <m:t>I</m:t>
                  </m:r>
                </m:e>
                <m:sub>
                  <m:r>
                    <m:t>3</m:t>
                  </m:r>
                </m:sub>
                <m:sup>
                  <m:r>
                    <m:t>2</m:t>
                  </m:r>
                </m:sup>
              </m:sSubSup>
            </m:oMath>
            <w:r>
              <w:t xml:space="preserve"> </w:t>
            </w:r>
            <w:r>
              <w:t xml:space="preserve">(sovende top)</w:t>
            </w:r>
          </w:p>
        </w:tc>
        <w:tc>
          <w:tcPr/>
          <w:p>
            <w:pPr>
              <w:pStyle w:val="Compact"/>
              <w:jc w:val="left"/>
            </w:pPr>
            <m:oMath>
              <m:sSubSup>
                <m:e>
                  <m:r>
                    <m:t>ω</m:t>
                  </m:r>
                </m:e>
                <m:sub>
                  <m:r>
                    <m:t>0</m:t>
                  </m:r>
                </m:sub>
                <m:sup>
                  <m:r>
                    <m:t>2</m:t>
                  </m:r>
                </m:sup>
              </m:sSubSup>
              <m:r>
                <m:rPr>
                  <m:sty m:val="p"/>
                </m:rPr>
                <m:t>≥</m:t>
              </m:r>
              <m:r>
                <m:t>M</m:t>
              </m:r>
              <m:r>
                <m:t>g</m:t>
              </m:r>
              <m:r>
                <m:t>R</m:t>
              </m:r>
              <m:sSup>
                <m:e>
                  <m:d>
                    <m:dPr>
                      <m:begChr m:val="("/>
                      <m:endChr m:val=")"/>
                      <m:sepChr m:val=""/>
                      <m:grow/>
                    </m:dPr>
                    <m:e>
                      <m:r>
                        <m:t>1</m:t>
                      </m:r>
                      <m:r>
                        <m:rPr>
                          <m:sty m:val="p"/>
                        </m:rPr>
                        <m:t>+</m:t>
                      </m:r>
                      <m:r>
                        <m:t>α</m:t>
                      </m:r>
                    </m:e>
                  </m:d>
                </m:e>
                <m:sup>
                  <m:r>
                    <m:t>2</m:t>
                  </m:r>
                </m:sup>
              </m:sSup>
              <m:r>
                <m:rPr>
                  <m:sty m:val="p"/>
                </m:rPr>
                <m:t>/</m:t>
              </m:r>
              <m:sSub>
                <m:e>
                  <m:r>
                    <m:t>I</m:t>
                  </m:r>
                </m:e>
                <m:sub>
                  <m:r>
                    <m:t>3</m:t>
                  </m:r>
                </m:sub>
              </m:sSub>
            </m:oMath>
            <w:r>
              <w:t xml:space="preserve"> </w:t>
            </w:r>
            <w:r>
              <w:t xml:space="preserve">og</w:t>
            </w:r>
            <w:r>
              <w:t xml:space="preserve"> </w:t>
            </w:r>
            <m:oMath>
              <m:r>
                <m:t>1</m:t>
              </m:r>
              <m:r>
                <m:rPr>
                  <m:sty m:val="p"/>
                </m:rPr>
                <m:t>−</m:t>
              </m:r>
              <m:r>
                <m:t>α</m:t>
              </m:r>
              <m:r>
                <m:rPr>
                  <m:sty m:val="p"/>
                </m:rPr>
                <m:t>&lt;</m:t>
              </m:r>
              <m:sSub>
                <m:e>
                  <m:r>
                    <m:t>I</m:t>
                  </m:r>
                </m:e>
                <m:sub>
                  <m:r>
                    <m:t>1</m:t>
                  </m:r>
                </m:sub>
              </m:sSub>
              <m:r>
                <m:rPr>
                  <m:sty m:val="p"/>
                </m:rPr>
                <m:t>/</m:t>
              </m:r>
              <m:sSub>
                <m:e>
                  <m:r>
                    <m:t>I</m:t>
                  </m:r>
                </m:e>
                <m:sub>
                  <m:r>
                    <m:t>3</m:t>
                  </m:r>
                </m:sub>
              </m:sSub>
              <m:r>
                <m:rPr>
                  <m:sty m:val="p"/>
                </m:rPr>
                <m:t>&lt;</m:t>
              </m:r>
              <m:r>
                <m:t>1</m:t>
              </m:r>
              <m:r>
                <m:rPr>
                  <m:sty m:val="p"/>
                </m:rPr>
                <m:t>+</m:t>
              </m:r>
              <m:r>
                <m:t>α</m:t>
              </m:r>
            </m:oMath>
          </w:p>
        </w:tc>
      </w:tr>
    </w:tbl>
    <w:p>
      <w:pPr>
        <w:pStyle w:val="BodyText"/>
      </w:pPr>
      <w:r>
        <w:t xml:space="preserve">Gyroskopet er et konservativt system: momentet drejer</w:t>
      </w:r>
      <w:r>
        <w:t xml:space="preserve"> </w:t>
      </w:r>
      <m:oMath>
        <m:r>
          <m:rPr>
            <m:sty m:val="b"/>
          </m:rPr>
          <m:t>L</m:t>
        </m:r>
      </m:oMath>
      <w:r>
        <w:t xml:space="preserve"> </w:t>
      </w:r>
      <w:r>
        <w:t xml:space="preserve">uden at ændre energien. Tippetoppen er et dissipativt system, hvor en enkelt bevaret størrelse, Jelletts konstant, afgør, hvor energitabet fører hen. Det er en smuk illustration af, at friktion ikke kun bremser, men også kan organisere en bevægelse.</w:t>
      </w:r>
    </w:p>
    <w:bookmarkEnd w:id="48"/>
    <w:bookmarkStart w:id="49" w:name="litteratur"/>
    <w:p>
      <w:pPr>
        <w:pStyle w:val="Heading1"/>
      </w:pPr>
      <w:r>
        <w:rPr>
          <w:rStyle w:val="SectionNumber"/>
        </w:rPr>
        <w:t xml:space="preserve">5</w:t>
      </w:r>
      <w:r>
        <w:tab/>
      </w:r>
      <w:r>
        <w:t xml:space="preserve">Litteratur</w:t>
      </w:r>
    </w:p>
    <w:p>
      <w:pPr>
        <w:numPr>
          <w:ilvl w:val="0"/>
          <w:numId w:val="1002"/>
        </w:numPr>
        <w:pStyle w:val="Compact"/>
      </w:pPr>
      <w:r>
        <w:t xml:space="preserve">H. Goldstein, C. Poole &amp; J. Safko,</w:t>
      </w:r>
      <w:r>
        <w:t xml:space="preserve"> </w:t>
      </w:r>
      <w:r>
        <w:rPr>
          <w:iCs/>
          <w:i/>
        </w:rPr>
        <w:t xml:space="preserve">Classical Mechanics</w:t>
      </w:r>
      <w:r>
        <w:t xml:space="preserve">, 3. udg., Addison-Wesley (2002), kap. 5.</w:t>
      </w:r>
    </w:p>
    <w:p>
      <w:pPr>
        <w:numPr>
          <w:ilvl w:val="0"/>
          <w:numId w:val="1002"/>
        </w:numPr>
        <w:pStyle w:val="Compact"/>
      </w:pPr>
      <w:r>
        <w:t xml:space="preserve">J. H. Jellett,</w:t>
      </w:r>
      <w:r>
        <w:t xml:space="preserve"> </w:t>
      </w:r>
      <w:r>
        <w:rPr>
          <w:iCs/>
          <w:i/>
        </w:rPr>
        <w:t xml:space="preserve">A Treatise on the Theory of Friction</w:t>
      </w:r>
      <w:r>
        <w:t xml:space="preserve">, Hodges, Foster &amp; Co., Dublin (1872).</w:t>
      </w:r>
    </w:p>
    <w:p>
      <w:pPr>
        <w:numPr>
          <w:ilvl w:val="0"/>
          <w:numId w:val="1002"/>
        </w:numPr>
        <w:pStyle w:val="Compact"/>
      </w:pPr>
      <w:r>
        <w:t xml:space="preserve">C. M. Braams,</w:t>
      </w:r>
      <w:r>
        <w:t xml:space="preserve"> </w:t>
      </w:r>
      <w:r>
        <w:t xml:space="preserve">“</w:t>
      </w:r>
      <w:r>
        <w:t xml:space="preserve">On the influence of friction on the motion of a top</w:t>
      </w:r>
      <w:r>
        <w:t xml:space="preserve">”</w:t>
      </w:r>
      <w:r>
        <w:t xml:space="preserve">,</w:t>
      </w:r>
      <w:r>
        <w:t xml:space="preserve"> </w:t>
      </w:r>
      <w:r>
        <w:rPr>
          <w:iCs/>
          <w:i/>
        </w:rPr>
        <w:t xml:space="preserve">Physica</w:t>
      </w:r>
      <w:r>
        <w:t xml:space="preserve"> </w:t>
      </w:r>
      <w:r>
        <w:rPr>
          <w:bCs/>
          <w:b/>
        </w:rPr>
        <w:t xml:space="preserve">18</w:t>
      </w:r>
      <w:r>
        <w:t xml:space="preserve">, 503 (1952).</w:t>
      </w:r>
    </w:p>
    <w:p>
      <w:pPr>
        <w:numPr>
          <w:ilvl w:val="0"/>
          <w:numId w:val="1002"/>
        </w:numPr>
        <w:pStyle w:val="Compact"/>
      </w:pPr>
      <w:r>
        <w:t xml:space="preserve">N. M. Hugenholtz,</w:t>
      </w:r>
      <w:r>
        <w:t xml:space="preserve"> </w:t>
      </w:r>
      <w:r>
        <w:t xml:space="preserve">“</w:t>
      </w:r>
      <w:r>
        <w:t xml:space="preserve">On tops rising by friction</w:t>
      </w:r>
      <w:r>
        <w:t xml:space="preserve">”</w:t>
      </w:r>
      <w:r>
        <w:t xml:space="preserve">,</w:t>
      </w:r>
      <w:r>
        <w:t xml:space="preserve"> </w:t>
      </w:r>
      <w:r>
        <w:rPr>
          <w:iCs/>
          <w:i/>
        </w:rPr>
        <w:t xml:space="preserve">Physica</w:t>
      </w:r>
      <w:r>
        <w:t xml:space="preserve"> </w:t>
      </w:r>
      <w:r>
        <w:rPr>
          <w:bCs/>
          <w:b/>
        </w:rPr>
        <w:t xml:space="preserve">18</w:t>
      </w:r>
      <w:r>
        <w:t xml:space="preserve">, 515 (1952).</w:t>
      </w:r>
    </w:p>
    <w:p>
      <w:pPr>
        <w:numPr>
          <w:ilvl w:val="0"/>
          <w:numId w:val="1002"/>
        </w:numPr>
        <w:pStyle w:val="Compact"/>
      </w:pPr>
      <w:r>
        <w:t xml:space="preserve">R. J. Cohen,</w:t>
      </w:r>
      <w:r>
        <w:t xml:space="preserve"> </w:t>
      </w:r>
      <w:r>
        <w:t xml:space="preserve">“</w:t>
      </w:r>
      <w:r>
        <w:t xml:space="preserve">The tippe top revisited</w:t>
      </w:r>
      <w:r>
        <w:t xml:space="preserve">”</w:t>
      </w:r>
      <w:r>
        <w:t xml:space="preserve">,</w:t>
      </w:r>
      <w:r>
        <w:t xml:space="preserve"> </w:t>
      </w:r>
      <w:r>
        <w:rPr>
          <w:iCs/>
          <w:i/>
        </w:rPr>
        <w:t xml:space="preserve">American Journal of Physics</w:t>
      </w:r>
      <w:r>
        <w:t xml:space="preserve"> </w:t>
      </w:r>
      <w:r>
        <w:rPr>
          <w:bCs/>
          <w:b/>
        </w:rPr>
        <w:t xml:space="preserve">45</w:t>
      </w:r>
      <w:r>
        <w:t xml:space="preserve">, 12 (1977).</w:t>
      </w:r>
    </w:p>
    <w:p>
      <w:pPr>
        <w:numPr>
          <w:ilvl w:val="0"/>
          <w:numId w:val="1002"/>
        </w:numPr>
        <w:pStyle w:val="Compact"/>
      </w:pPr>
      <w:r>
        <w:t xml:space="preserve">S. Ebenfeld &amp; F. Scheck,</w:t>
      </w:r>
      <w:r>
        <w:t xml:space="preserve"> </w:t>
      </w:r>
      <w:r>
        <w:t xml:space="preserve">“</w:t>
      </w:r>
      <w:r>
        <w:t xml:space="preserve">A new analysis of the tippe top: asymptotic states and Liapunov stability</w:t>
      </w:r>
      <w:r>
        <w:t xml:space="preserve">”</w:t>
      </w:r>
      <w:r>
        <w:t xml:space="preserve">,</w:t>
      </w:r>
      <w:r>
        <w:t xml:space="preserve"> </w:t>
      </w:r>
      <w:r>
        <w:rPr>
          <w:iCs/>
          <w:i/>
        </w:rPr>
        <w:t xml:space="preserve">Annals of Physics</w:t>
      </w:r>
      <w:r>
        <w:t xml:space="preserve"> </w:t>
      </w:r>
      <w:r>
        <w:rPr>
          <w:bCs/>
          <w:b/>
        </w:rPr>
        <w:t xml:space="preserve">243</w:t>
      </w:r>
      <w:r>
        <w:t xml:space="preserve">, 195 (1995).</w:t>
      </w:r>
    </w:p>
    <w:p>
      <w:pPr>
        <w:numPr>
          <w:ilvl w:val="0"/>
          <w:numId w:val="1002"/>
        </w:numPr>
        <w:pStyle w:val="Compact"/>
      </w:pPr>
      <w:r>
        <w:t xml:space="preserve">N. M. Bou-Rabee, J. E. Marsden &amp; L. A. Romero,</w:t>
      </w:r>
      <w:r>
        <w:t xml:space="preserve"> </w:t>
      </w:r>
      <w:r>
        <w:t xml:space="preserve">“</w:t>
      </w:r>
      <w:r>
        <w:t xml:space="preserve">Tippe top inversion as a dissipation-induced instability</w:t>
      </w:r>
      <w:r>
        <w:t xml:space="preserve">”</w:t>
      </w:r>
      <w:r>
        <w:t xml:space="preserve">,</w:t>
      </w:r>
      <w:r>
        <w:t xml:space="preserve"> </w:t>
      </w:r>
      <w:r>
        <w:rPr>
          <w:iCs/>
          <w:i/>
        </w:rPr>
        <w:t xml:space="preserve">SIAM Journal on Applied Dynamical Systems</w:t>
      </w:r>
      <w:r>
        <w:t xml:space="preserve"> </w:t>
      </w:r>
      <w:r>
        <w:rPr>
          <w:bCs/>
          <w:b/>
        </w:rPr>
        <w:t xml:space="preserve">3</w:t>
      </w:r>
      <w:r>
        <w:t xml:space="preserve">, 352 (2004).</w:t>
      </w:r>
    </w:p>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d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3" Target="media/rId33.png" /><Relationship Type="http://schemas.openxmlformats.org/officeDocument/2006/relationships/image" Id="rId24" Target="media/rId24.png" /><Relationship Type="http://schemas.openxmlformats.org/officeDocument/2006/relationships/image" Id="rId42" Target="media/rId4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Gyroskopet og tippetoppen</dc:title>
  <dc:creator/>
  <dc:language>da</dc:language>
  <cp:keywords/>
  <dcterms:created xsi:type="dcterms:W3CDTF">2026-09-19T20:39:10Z</dcterms:created>
  <dcterms:modified xsi:type="dcterms:W3CDTF">2026-09-19T20:39:10Z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September 2026</vt:lpwstr>
  </property>
  <property fmtid="{D5CDD505-2E9C-101B-9397-08002B2CF9AE}" pid="3" name="subtitle">
    <vt:lpwstr>Teori og matematik bag to klassiske snurretoppe</vt:lpwstr>
  </property>
</Properties>
</file>